
<file path=[Content_Types].xml><?xml version="1.0" encoding="utf-8"?>
<Types xmlns="http://schemas.openxmlformats.org/package/2006/content-types">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隶书"/>
          <w:b/>
          <w:sz w:val="52"/>
        </w:rPr>
      </w:pPr>
    </w:p>
    <w:p>
      <w:pPr>
        <w:rPr>
          <w:rFonts w:hint="eastAsia" w:eastAsia="隶书"/>
          <w:b/>
          <w:sz w:val="52"/>
          <w:lang w:eastAsia="zh-CN"/>
        </w:rPr>
      </w:pPr>
      <w:bookmarkStart w:id="21" w:name="_GoBack"/>
      <w:r>
        <w:rPr>
          <w:rFonts w:hint="eastAsia" w:eastAsia="隶书"/>
          <w:b/>
          <w:sz w:val="52"/>
          <w:lang w:eastAsia="zh-CN"/>
        </w:rPr>
        <w:drawing>
          <wp:inline distT="0" distB="0" distL="114300" distR="114300">
            <wp:extent cx="5268595" cy="3610610"/>
            <wp:effectExtent l="0" t="0" r="4445" b="1270"/>
            <wp:docPr id="1" name="图片 1" descr="资料包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资料包二维码"/>
                    <pic:cNvPicPr>
                      <a:picLocks noChangeAspect="1"/>
                    </pic:cNvPicPr>
                  </pic:nvPicPr>
                  <pic:blipFill>
                    <a:blip r:embed="rId10"/>
                    <a:stretch>
                      <a:fillRect/>
                    </a:stretch>
                  </pic:blipFill>
                  <pic:spPr>
                    <a:xfrm>
                      <a:off x="0" y="0"/>
                      <a:ext cx="5268595" cy="3610610"/>
                    </a:xfrm>
                    <a:prstGeom prst="rect">
                      <a:avLst/>
                    </a:prstGeom>
                  </pic:spPr>
                </pic:pic>
              </a:graphicData>
            </a:graphic>
          </wp:inline>
        </w:drawing>
      </w:r>
      <w:bookmarkEnd w:id="21"/>
    </w:p>
    <w:p>
      <w:pPr>
        <w:jc w:val="center"/>
        <w:rPr>
          <w:rFonts w:hint="eastAsia" w:eastAsia="隶书"/>
          <w:b/>
          <w:sz w:val="52"/>
        </w:rPr>
      </w:pPr>
      <w:r>
        <w:rPr>
          <w:rFonts w:hint="eastAsia" w:eastAsia="隶书"/>
          <w:b/>
          <w:sz w:val="52"/>
        </w:rPr>
        <w:tab/>
      </w:r>
    </w:p>
    <w:p>
      <w:pPr>
        <w:widowControl/>
        <w:jc w:val="center"/>
        <w:rPr>
          <w:rFonts w:hint="eastAsia" w:eastAsia="黑体"/>
          <w:b/>
          <w:sz w:val="52"/>
        </w:rPr>
      </w:pPr>
    </w:p>
    <w:p>
      <w:pPr>
        <w:widowControl/>
        <w:jc w:val="center"/>
        <w:rPr>
          <w:rFonts w:hint="eastAsia" w:eastAsia="黑体"/>
          <w:b/>
          <w:sz w:val="52"/>
        </w:rPr>
      </w:pPr>
      <w:r>
        <w:rPr>
          <w:rFonts w:hint="eastAsia" w:ascii="隶书" w:eastAsia="隶书"/>
          <w:b/>
          <w:bCs/>
          <w:color w:val="000000"/>
          <w:sz w:val="48"/>
          <w:szCs w:val="30"/>
        </w:rPr>
        <w:t>软件技术有限公司</w:t>
      </w:r>
    </w:p>
    <w:p>
      <w:pPr>
        <w:widowControl/>
        <w:jc w:val="center"/>
        <w:rPr>
          <w:rFonts w:hint="eastAsia" w:eastAsia="黑体"/>
          <w:b/>
          <w:sz w:val="52"/>
        </w:rPr>
      </w:pPr>
    </w:p>
    <w:p>
      <w:pPr>
        <w:widowControl/>
        <w:jc w:val="center"/>
        <w:rPr>
          <w:rFonts w:hint="eastAsia" w:eastAsia="黑体"/>
          <w:bCs/>
          <w:sz w:val="52"/>
        </w:rPr>
      </w:pPr>
      <w:r>
        <w:rPr>
          <w:rFonts w:hint="eastAsia" w:eastAsia="黑体"/>
          <w:bCs/>
          <w:sz w:val="52"/>
        </w:rPr>
        <w:t>核心人员薪酬股权激励</w:t>
      </w:r>
    </w:p>
    <w:p>
      <w:pPr>
        <w:widowControl/>
        <w:jc w:val="center"/>
        <w:rPr>
          <w:rFonts w:hint="eastAsia" w:eastAsia="黑体"/>
          <w:bCs/>
          <w:sz w:val="52"/>
        </w:rPr>
      </w:pPr>
      <w:r>
        <w:rPr>
          <w:rFonts w:hint="eastAsia" w:eastAsia="黑体"/>
          <w:bCs/>
          <w:sz w:val="52"/>
        </w:rPr>
        <w:t>管理手册</w:t>
      </w:r>
    </w:p>
    <w:p>
      <w:pPr>
        <w:widowControl/>
        <w:jc w:val="center"/>
        <w:rPr>
          <w:rFonts w:ascii="宋体" w:hAnsi="宋体"/>
          <w:bCs/>
          <w:vanish/>
          <w:kern w:val="0"/>
          <w:sz w:val="24"/>
        </w:rPr>
      </w:pPr>
    </w:p>
    <w:p>
      <w:pPr>
        <w:widowControl/>
        <w:jc w:val="center"/>
        <w:rPr>
          <w:rFonts w:hint="eastAsia" w:eastAsia="黑体"/>
          <w:bCs/>
          <w:sz w:val="52"/>
        </w:rPr>
      </w:pPr>
    </w:p>
    <w:p>
      <w:pPr>
        <w:widowControl/>
        <w:jc w:val="center"/>
        <w:rPr>
          <w:rFonts w:hint="eastAsia" w:eastAsia="黑体"/>
          <w:bCs/>
          <w:sz w:val="52"/>
        </w:rPr>
      </w:pPr>
    </w:p>
    <w:p>
      <w:pPr>
        <w:jc w:val="center"/>
        <w:rPr>
          <w:rFonts w:hint="eastAsia" w:ascii="黑体" w:hAnsi="宋体" w:eastAsia="黑体"/>
          <w:sz w:val="30"/>
        </w:rPr>
      </w:pPr>
    </w:p>
    <w:p>
      <w:pPr>
        <w:jc w:val="center"/>
        <w:rPr>
          <w:rFonts w:hint="eastAsia" w:ascii="黑体" w:hAnsi="宋体" w:eastAsia="黑体"/>
          <w:sz w:val="30"/>
        </w:rPr>
      </w:pPr>
    </w:p>
    <w:p>
      <w:pPr>
        <w:rPr>
          <w:rFonts w:hint="eastAsia" w:eastAsia="隶书"/>
          <w:b/>
          <w:sz w:val="52"/>
        </w:rPr>
      </w:pPr>
      <w:r>
        <w:rPr>
          <w:rFonts w:hint="eastAsia" w:ascii="黑体" w:hAnsi="宋体" w:eastAsia="黑体"/>
          <w:sz w:val="30"/>
        </w:rPr>
        <w:t xml:space="preserve"> </w:t>
      </w:r>
    </w:p>
    <w:p>
      <w:pPr>
        <w:jc w:val="center"/>
        <w:rPr>
          <w:b/>
          <w:sz w:val="28"/>
        </w:rPr>
        <w:sectPr>
          <w:footerReference r:id="rId3" w:type="default"/>
          <w:footerReference r:id="rId4" w:type="even"/>
          <w:type w:val="continuous"/>
          <w:pgSz w:w="11906" w:h="16838"/>
          <w:pgMar w:top="1730" w:right="1800" w:bottom="1440" w:left="1800" w:header="851" w:footer="833" w:gutter="0"/>
          <w:pgNumType w:fmt="lowerRoman" w:start="1"/>
          <w:cols w:space="425" w:num="1"/>
          <w:docGrid w:type="lines" w:linePitch="312" w:charSpace="0"/>
        </w:sectPr>
      </w:pPr>
    </w:p>
    <w:p>
      <w:pPr>
        <w:spacing w:line="360" w:lineRule="auto"/>
        <w:jc w:val="center"/>
        <w:rPr>
          <w:rFonts w:hint="eastAsia"/>
          <w:b/>
          <w:sz w:val="36"/>
        </w:rPr>
      </w:pPr>
      <w:r>
        <w:rPr>
          <w:rFonts w:hint="eastAsia"/>
          <w:b/>
          <w:sz w:val="36"/>
        </w:rPr>
        <w:t>目   录</w:t>
      </w:r>
    </w:p>
    <w:p>
      <w:pPr>
        <w:pStyle w:val="19"/>
        <w:rPr>
          <w:rFonts w:ascii="Times New Roman" w:hAnsi="Times New Roman"/>
          <w:b w:val="0"/>
          <w:bCs w:val="0"/>
          <w:caps w:val="0"/>
          <w:szCs w:val="24"/>
        </w:rPr>
      </w:pPr>
      <w:r>
        <w:rPr>
          <w:rFonts w:ascii="宋体" w:hAnsi="宋体"/>
          <w:sz w:val="24"/>
        </w:rPr>
        <w:fldChar w:fldCharType="begin"/>
      </w:r>
      <w:r>
        <w:rPr>
          <w:rFonts w:ascii="宋体" w:hAnsi="宋体"/>
          <w:sz w:val="24"/>
        </w:rPr>
        <w:instrText xml:space="preserve"> TOC \o "1-3" \h \z </w:instrText>
      </w:r>
      <w:r>
        <w:rPr>
          <w:rFonts w:ascii="宋体" w:hAnsi="宋体"/>
          <w:sz w:val="24"/>
        </w:rPr>
        <w:fldChar w:fldCharType="separate"/>
      </w:r>
    </w:p>
    <w:p>
      <w:pPr>
        <w:pStyle w:val="20"/>
        <w:tabs>
          <w:tab w:val="left" w:pos="1050"/>
          <w:tab w:val="right" w:leader="dot" w:pos="8296"/>
        </w:tabs>
        <w:rPr>
          <w:b w:val="0"/>
          <w:bCs w:val="0"/>
        </w:rPr>
      </w:pPr>
      <w:r>
        <w:fldChar w:fldCharType="begin"/>
      </w:r>
      <w:r>
        <w:instrText xml:space="preserve"> HYPERLINK \l "_Toc60141874" </w:instrText>
      </w:r>
      <w:r>
        <w:fldChar w:fldCharType="separate"/>
      </w:r>
      <w:r>
        <w:rPr>
          <w:rStyle w:val="18"/>
          <w:rFonts w:hint="eastAsia"/>
        </w:rPr>
        <w:t>第一章</w:t>
      </w:r>
      <w:r>
        <w:rPr>
          <w:b w:val="0"/>
          <w:bCs w:val="0"/>
        </w:rPr>
        <w:tab/>
      </w:r>
      <w:r>
        <w:rPr>
          <w:rStyle w:val="18"/>
          <w:rFonts w:hint="eastAsia"/>
        </w:rPr>
        <w:t>总则</w:t>
      </w:r>
      <w:r>
        <w:tab/>
      </w:r>
      <w:r>
        <w:fldChar w:fldCharType="begin"/>
      </w:r>
      <w:r>
        <w:instrText xml:space="preserve"> PAGEREF _Toc60141874 \h </w:instrText>
      </w:r>
      <w:r>
        <w:fldChar w:fldCharType="separate"/>
      </w:r>
      <w:r>
        <w:t>1</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"_Toc60141875" </w:instrText>
      </w:r>
      <w:r>
        <w:fldChar w:fldCharType="separate"/>
      </w:r>
      <w:r>
        <w:rPr>
          <w:rStyle w:val="18"/>
          <w:rFonts w:hint="eastAsia"/>
        </w:rPr>
        <w:t>第二章</w:t>
      </w:r>
      <w:r>
        <w:rPr>
          <w:b w:val="0"/>
          <w:bCs w:val="0"/>
        </w:rPr>
        <w:tab/>
      </w:r>
      <w:r>
        <w:rPr>
          <w:rStyle w:val="18"/>
          <w:rFonts w:hint="eastAsia"/>
        </w:rPr>
        <w:t>薪酬股权激励基本原则</w:t>
      </w:r>
      <w:r>
        <w:tab/>
      </w:r>
      <w:r>
        <w:fldChar w:fldCharType="begin"/>
      </w:r>
      <w:r>
        <w:instrText xml:space="preserve"> PAGEREF _Toc60141875 \h </w:instrText>
      </w:r>
      <w:r>
        <w:fldChar w:fldCharType="separate"/>
      </w:r>
      <w:r>
        <w:t>1</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"_Toc60141876" </w:instrText>
      </w:r>
      <w:r>
        <w:fldChar w:fldCharType="separate"/>
      </w:r>
      <w:r>
        <w:rPr>
          <w:rStyle w:val="18"/>
          <w:rFonts w:hint="eastAsia"/>
        </w:rPr>
        <w:t>第三章</w:t>
      </w:r>
      <w:r>
        <w:rPr>
          <w:b w:val="0"/>
          <w:bCs w:val="0"/>
        </w:rPr>
        <w:tab/>
      </w:r>
      <w:r>
        <w:rPr>
          <w:rStyle w:val="18"/>
          <w:rFonts w:hint="eastAsia"/>
        </w:rPr>
        <w:t>年薪</w:t>
      </w:r>
      <w:r>
        <w:tab/>
      </w:r>
      <w:r>
        <w:fldChar w:fldCharType="begin"/>
      </w:r>
      <w:r>
        <w:instrText xml:space="preserve"> PAGEREF _Toc60141876 \h </w:instrText>
      </w:r>
      <w:r>
        <w:fldChar w:fldCharType="separate"/>
      </w:r>
      <w:r>
        <w:t>1</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"_Toc60141877" </w:instrText>
      </w:r>
      <w:r>
        <w:fldChar w:fldCharType="separate"/>
      </w:r>
      <w:r>
        <w:rPr>
          <w:rStyle w:val="18"/>
          <w:rFonts w:hint="eastAsia"/>
        </w:rPr>
        <w:t>第四章</w:t>
      </w:r>
      <w:r>
        <w:rPr>
          <w:b w:val="0"/>
          <w:bCs w:val="0"/>
        </w:rPr>
        <w:tab/>
      </w:r>
      <w:r>
        <w:rPr>
          <w:rStyle w:val="18"/>
          <w:rFonts w:hint="eastAsia"/>
        </w:rPr>
        <w:t>实股</w:t>
      </w:r>
      <w:r>
        <w:tab/>
      </w:r>
      <w:r>
        <w:fldChar w:fldCharType="begin"/>
      </w:r>
      <w:r>
        <w:instrText xml:space="preserve"> PAGEREF _Toc60141877 \h </w:instrText>
      </w:r>
      <w:r>
        <w:fldChar w:fldCharType="separate"/>
      </w:r>
      <w:r>
        <w:t>3</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"_Toc60141878" </w:instrText>
      </w:r>
      <w:r>
        <w:fldChar w:fldCharType="separate"/>
      </w:r>
      <w:r>
        <w:rPr>
          <w:rStyle w:val="18"/>
          <w:rFonts w:hint="eastAsia"/>
        </w:rPr>
        <w:t>第五章</w:t>
      </w:r>
      <w:r>
        <w:rPr>
          <w:b w:val="0"/>
          <w:bCs w:val="0"/>
        </w:rPr>
        <w:tab/>
      </w:r>
      <w:r>
        <w:rPr>
          <w:rStyle w:val="18"/>
          <w:rFonts w:hint="eastAsia"/>
        </w:rPr>
        <w:t>期股</w:t>
      </w:r>
      <w:r>
        <w:tab/>
      </w:r>
      <w:r>
        <w:fldChar w:fldCharType="begin"/>
      </w:r>
      <w:r>
        <w:instrText xml:space="preserve"> PAGEREF _Toc60141878 \h </w:instrText>
      </w:r>
      <w:r>
        <w:fldChar w:fldCharType="separate"/>
      </w:r>
      <w:r>
        <w:t>4</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"_Toc60141879" </w:instrText>
      </w:r>
      <w:r>
        <w:fldChar w:fldCharType="separate"/>
      </w:r>
      <w:r>
        <w:rPr>
          <w:rStyle w:val="18"/>
          <w:rFonts w:hint="eastAsia"/>
        </w:rPr>
        <w:t>第六章</w:t>
      </w:r>
      <w:r>
        <w:rPr>
          <w:b w:val="0"/>
          <w:bCs w:val="0"/>
        </w:rPr>
        <w:tab/>
      </w:r>
      <w:r>
        <w:rPr>
          <w:rStyle w:val="18"/>
          <w:rFonts w:hint="eastAsia"/>
        </w:rPr>
        <w:t>业绩股票</w:t>
      </w:r>
      <w:r>
        <w:tab/>
      </w:r>
      <w:r>
        <w:fldChar w:fldCharType="begin"/>
      </w:r>
      <w:r>
        <w:instrText xml:space="preserve"> PAGEREF _Toc60141879 \h </w:instrText>
      </w:r>
      <w:r>
        <w:fldChar w:fldCharType="separate"/>
      </w:r>
      <w:r>
        <w:t>5</w:t>
      </w:r>
      <w:r>
        <w:fldChar w:fldCharType="end"/>
      </w:r>
      <w:r>
        <w:fldChar w:fldCharType="end"/>
      </w:r>
    </w:p>
    <w:p>
      <w:pPr>
        <w:pStyle w:val="20"/>
        <w:tabs>
          <w:tab w:val="left" w:pos="1050"/>
          <w:tab w:val="right" w:leader="dot" w:pos="8296"/>
        </w:tabs>
        <w:rPr>
          <w:b w:val="0"/>
          <w:bCs w:val="0"/>
        </w:rPr>
      </w:pPr>
      <w:r>
        <w:fldChar w:fldCharType="begin"/>
      </w:r>
      <w:r>
        <w:instrText xml:space="preserve"> HYPERLINK \l "_Toc60141880" </w:instrText>
      </w:r>
      <w:r>
        <w:fldChar w:fldCharType="separate"/>
      </w:r>
      <w:r>
        <w:rPr>
          <w:rStyle w:val="18"/>
          <w:rFonts w:hint="eastAsia"/>
        </w:rPr>
        <w:t>第七章</w:t>
      </w:r>
      <w:r>
        <w:rPr>
          <w:b w:val="0"/>
          <w:bCs w:val="0"/>
        </w:rPr>
        <w:tab/>
      </w:r>
      <w:r>
        <w:rPr>
          <w:rStyle w:val="18"/>
          <w:rFonts w:hint="eastAsia"/>
        </w:rPr>
        <w:t>附则</w:t>
      </w:r>
      <w:r>
        <w:tab/>
      </w:r>
      <w:r>
        <w:fldChar w:fldCharType="begin"/>
      </w:r>
      <w:r>
        <w:instrText xml:space="preserve"> PAGEREF _Toc60141880 \h </w:instrText>
      </w:r>
      <w:r>
        <w:fldChar w:fldCharType="separate"/>
      </w:r>
      <w:r>
        <w:t>7</w:t>
      </w:r>
      <w:r>
        <w:fldChar w:fldCharType="end"/>
      </w:r>
      <w:r>
        <w:fldChar w:fldCharType="end"/>
      </w:r>
    </w:p>
    <w:p>
      <w:pPr>
        <w:pStyle w:val="20"/>
        <w:tabs>
          <w:tab w:val="right" w:leader="dot" w:pos="8296"/>
        </w:tabs>
        <w:rPr>
          <w:b w:val="0"/>
          <w:bCs w:val="0"/>
        </w:rPr>
      </w:pPr>
      <w:r>
        <w:fldChar w:fldCharType="begin"/>
      </w:r>
      <w:r>
        <w:instrText xml:space="preserve"> HYPERLINK \l "_Toc60141881" </w:instrText>
      </w:r>
      <w:r>
        <w:fldChar w:fldCharType="separate"/>
      </w:r>
      <w:r>
        <w:rPr>
          <w:rStyle w:val="18"/>
          <w:rFonts w:hint="eastAsia"/>
        </w:rPr>
        <w:t>附录一：鼎视通薪酬等级序列表</w:t>
      </w:r>
      <w:r>
        <w:tab/>
      </w:r>
      <w:r>
        <w:fldChar w:fldCharType="begin"/>
      </w:r>
      <w:r>
        <w:instrText xml:space="preserve"> PAGEREF _Toc60141881 \h </w:instrText>
      </w:r>
      <w:r>
        <w:fldChar w:fldCharType="separate"/>
      </w:r>
      <w:r>
        <w:t>8</w:t>
      </w:r>
      <w:r>
        <w:fldChar w:fldCharType="end"/>
      </w:r>
      <w:r>
        <w:fldChar w:fldCharType="end"/>
      </w:r>
    </w:p>
    <w:p>
      <w:pPr>
        <w:pStyle w:val="20"/>
        <w:tabs>
          <w:tab w:val="right" w:leader="dot" w:pos="8296"/>
        </w:tabs>
        <w:rPr>
          <w:b w:val="0"/>
          <w:bCs w:val="0"/>
        </w:rPr>
      </w:pPr>
      <w:r>
        <w:fldChar w:fldCharType="begin"/>
      </w:r>
      <w:r>
        <w:instrText xml:space="preserve"> HYPERLINK \l "_Toc60141882" </w:instrText>
      </w:r>
      <w:r>
        <w:fldChar w:fldCharType="separate"/>
      </w:r>
      <w:r>
        <w:rPr>
          <w:rStyle w:val="18"/>
          <w:rFonts w:hint="eastAsia"/>
        </w:rPr>
        <w:t>附录二：股权认购协议</w:t>
      </w:r>
      <w:r>
        <w:tab/>
      </w:r>
      <w:r>
        <w:fldChar w:fldCharType="begin"/>
      </w:r>
      <w:r>
        <w:instrText xml:space="preserve"> PAGEREF _Toc60141882 \h </w:instrText>
      </w:r>
      <w:r>
        <w:fldChar w:fldCharType="separate"/>
      </w:r>
      <w:r>
        <w:t>9</w:t>
      </w:r>
      <w:r>
        <w:fldChar w:fldCharType="end"/>
      </w:r>
      <w:r>
        <w:fldChar w:fldCharType="end"/>
      </w:r>
    </w:p>
    <w:p>
      <w:pPr>
        <w:pStyle w:val="20"/>
        <w:tabs>
          <w:tab w:val="right" w:leader="dot" w:pos="8296"/>
        </w:tabs>
        <w:rPr>
          <w:b w:val="0"/>
          <w:bCs w:val="0"/>
        </w:rPr>
      </w:pPr>
      <w:r>
        <w:fldChar w:fldCharType="begin"/>
      </w:r>
      <w:r>
        <w:instrText xml:space="preserve"> HYPERLINK \l "_Toc60141883" </w:instrText>
      </w:r>
      <w:r>
        <w:fldChar w:fldCharType="separate"/>
      </w:r>
      <w:r>
        <w:rPr>
          <w:rStyle w:val="18"/>
          <w:rFonts w:hint="eastAsia"/>
        </w:rPr>
        <w:t>附录三：内部股权转让协议</w:t>
      </w:r>
      <w:r>
        <w:tab/>
      </w:r>
      <w:r>
        <w:fldChar w:fldCharType="begin"/>
      </w:r>
      <w:r>
        <w:instrText xml:space="preserve"> PAGEREF _Toc60141883 \h </w:instrText>
      </w:r>
      <w:r>
        <w:fldChar w:fldCharType="separate"/>
      </w:r>
      <w:r>
        <w:t>11</w:t>
      </w:r>
      <w:r>
        <w:fldChar w:fldCharType="end"/>
      </w:r>
      <w:r>
        <w:fldChar w:fldCharType="end"/>
      </w:r>
    </w:p>
    <w:p>
      <w:pPr>
        <w:pStyle w:val="20"/>
        <w:tabs>
          <w:tab w:val="right" w:leader="dot" w:pos="8296"/>
        </w:tabs>
        <w:rPr>
          <w:b w:val="0"/>
          <w:bCs w:val="0"/>
        </w:rPr>
      </w:pPr>
      <w:r>
        <w:fldChar w:fldCharType="begin"/>
      </w:r>
      <w:r>
        <w:instrText xml:space="preserve"> HYPERLINK \l "_Toc60141884" </w:instrText>
      </w:r>
      <w:r>
        <w:fldChar w:fldCharType="separate"/>
      </w:r>
      <w:r>
        <w:rPr>
          <w:rStyle w:val="18"/>
          <w:rFonts w:hint="eastAsia"/>
        </w:rPr>
        <w:t>附录四：股权转让协议（业绩股票）</w:t>
      </w:r>
      <w:r>
        <w:tab/>
      </w:r>
      <w:r>
        <w:fldChar w:fldCharType="begin"/>
      </w:r>
      <w:r>
        <w:instrText xml:space="preserve"> PAGEREF _Toc60141884 \h </w:instrText>
      </w:r>
      <w:r>
        <w:fldChar w:fldCharType="separate"/>
      </w:r>
      <w:r>
        <w:t>13</w:t>
      </w:r>
      <w:r>
        <w:fldChar w:fldCharType="end"/>
      </w:r>
      <w:r>
        <w:fldChar w:fldCharType="end"/>
      </w:r>
    </w:p>
    <w:p>
      <w:pPr>
        <w:spacing w:line="360" w:lineRule="auto"/>
        <w:jc w:val="center"/>
        <w:rPr>
          <w:b/>
          <w:bCs/>
          <w:sz w:val="24"/>
        </w:rPr>
        <w:sectPr>
          <w:headerReference r:id="rId5" w:type="default"/>
          <w:footerReference r:id="rId6" w:type="default"/>
          <w:pgSz w:w="11906" w:h="16838"/>
          <w:pgMar w:top="1730" w:right="1800" w:bottom="1440" w:left="1800" w:header="851" w:footer="833" w:gutter="0"/>
          <w:pgNumType w:fmt="lowerRoman" w:start="1"/>
          <w:cols w:space="425" w:num="1"/>
          <w:docGrid w:type="lines" w:linePitch="312" w:charSpace="0"/>
        </w:sectPr>
      </w:pPr>
      <w:r>
        <w:rPr>
          <w:rFonts w:ascii="宋体" w:hAnsi="宋体"/>
          <w:sz w:val="24"/>
        </w:rPr>
        <w:fldChar w:fldCharType="end"/>
      </w:r>
    </w:p>
    <w:p>
      <w:pPr>
        <w:pStyle w:val="2"/>
        <w:numPr>
          <w:ilvl w:val="0"/>
          <w:numId w:val="0"/>
        </w:numPr>
        <w:ind w:left="360"/>
        <w:rPr>
          <w:rFonts w:hint="eastAsia"/>
        </w:rPr>
      </w:pPr>
      <w:bookmarkStart w:id="0" w:name="_Toc60141873"/>
      <w:bookmarkStart w:id="1" w:name="_Toc59271421"/>
      <w:bookmarkStart w:id="2" w:name="_Toc36864092"/>
      <w:r>
        <w:rPr>
          <w:rFonts w:hint="eastAsia"/>
        </w:rPr>
        <w:t>核心人员薪酬股权激励管理手册</w:t>
      </w:r>
      <w:bookmarkEnd w:id="0"/>
      <w:bookmarkEnd w:id="1"/>
    </w:p>
    <w:p>
      <w:pPr>
        <w:pStyle w:val="4"/>
        <w:spacing w:line="360" w:lineRule="auto"/>
        <w:rPr>
          <w:rFonts w:hint="eastAsia"/>
          <w:sz w:val="28"/>
          <w:szCs w:val="28"/>
        </w:rPr>
      </w:pPr>
      <w:bookmarkStart w:id="3" w:name="_Toc60141874"/>
      <w:r>
        <w:rPr>
          <w:rFonts w:hint="eastAsia"/>
          <w:sz w:val="28"/>
          <w:szCs w:val="28"/>
        </w:rPr>
        <w:t>总则</w:t>
      </w:r>
      <w:bookmarkEnd w:id="2"/>
      <w:bookmarkEnd w:id="3"/>
    </w:p>
    <w:p>
      <w:pPr>
        <w:pStyle w:val="6"/>
        <w:rPr>
          <w:rFonts w:hint="eastAsia"/>
          <w:sz w:val="21"/>
          <w:szCs w:val="21"/>
        </w:rPr>
      </w:pPr>
      <w:r>
        <w:rPr>
          <w:rFonts w:hint="eastAsia"/>
          <w:sz w:val="21"/>
          <w:szCs w:val="21"/>
        </w:rPr>
        <w:t>为保证公司核心人员的利益与公司利益挂钩，激励他们为企业创造长期价值和业绩的持续发展，充分体现个人的经济与事业的双重成就感，特制定本手册。</w:t>
      </w:r>
    </w:p>
    <w:p>
      <w:pPr>
        <w:pStyle w:val="6"/>
        <w:rPr>
          <w:rFonts w:hint="eastAsia"/>
          <w:sz w:val="21"/>
          <w:szCs w:val="21"/>
        </w:rPr>
      </w:pPr>
      <w:r>
        <w:rPr>
          <w:rFonts w:hint="eastAsia"/>
          <w:sz w:val="21"/>
          <w:szCs w:val="21"/>
        </w:rPr>
        <w:t>本手册适用于鼎视通核心人员（包括技术骨干、业务骨干、部门经理、副总经理、总经理），其他人员的薪酬股权激励管理方法可以参照本手册编制。</w:t>
      </w:r>
    </w:p>
    <w:p>
      <w:pPr>
        <w:pStyle w:val="4"/>
        <w:spacing w:line="360" w:lineRule="auto"/>
        <w:rPr>
          <w:rFonts w:hint="eastAsia"/>
          <w:sz w:val="28"/>
          <w:szCs w:val="28"/>
        </w:rPr>
      </w:pPr>
      <w:bookmarkStart w:id="4" w:name="_Toc36864094"/>
      <w:bookmarkStart w:id="5" w:name="_Toc60141875"/>
      <w:r>
        <w:rPr>
          <w:rFonts w:hint="eastAsia"/>
          <w:sz w:val="28"/>
          <w:szCs w:val="28"/>
        </w:rPr>
        <w:t>薪酬股权激励基本原则</w:t>
      </w:r>
      <w:bookmarkEnd w:id="4"/>
      <w:bookmarkEnd w:id="5"/>
    </w:p>
    <w:p>
      <w:pPr>
        <w:pStyle w:val="6"/>
        <w:rPr>
          <w:rFonts w:hint="eastAsia"/>
          <w:sz w:val="21"/>
          <w:szCs w:val="21"/>
        </w:rPr>
      </w:pPr>
      <w:bookmarkStart w:id="6" w:name="_Toc29270710"/>
      <w:r>
        <w:rPr>
          <w:rFonts w:hint="eastAsia"/>
          <w:sz w:val="21"/>
          <w:szCs w:val="21"/>
        </w:rPr>
        <w:t>核心人员薪酬管理体系的基本原则包括：</w:t>
      </w:r>
    </w:p>
    <w:p>
      <w:pPr>
        <w:pStyle w:val="7"/>
        <w:spacing w:line="360" w:lineRule="auto"/>
        <w:rPr>
          <w:rFonts w:hint="eastAsia" w:ascii="宋体" w:hAnsi="宋体"/>
          <w:sz w:val="21"/>
        </w:rPr>
      </w:pPr>
      <w:r>
        <w:rPr>
          <w:rFonts w:hint="eastAsia" w:ascii="宋体" w:hAnsi="宋体"/>
          <w:sz w:val="21"/>
        </w:rPr>
        <w:t>一个出发点：以实现公司战略目标为出发点。</w:t>
      </w:r>
    </w:p>
    <w:p>
      <w:pPr>
        <w:pStyle w:val="7"/>
        <w:numPr>
          <w:ilvl w:val="0"/>
          <w:numId w:val="5"/>
        </w:numPr>
        <w:spacing w:line="360" w:lineRule="auto"/>
        <w:rPr>
          <w:rFonts w:hint="eastAsia" w:ascii="宋体" w:hAnsi="宋体"/>
          <w:sz w:val="21"/>
        </w:rPr>
      </w:pPr>
      <w:r>
        <w:rPr>
          <w:rFonts w:hint="eastAsia" w:ascii="宋体" w:hAnsi="宋体"/>
          <w:sz w:val="21"/>
        </w:rPr>
        <w:t>两个公平：内部公平，薪酬要体现职位价值；外部公平，薪酬要体现市场价值。</w:t>
      </w:r>
    </w:p>
    <w:p>
      <w:pPr>
        <w:pStyle w:val="7"/>
        <w:numPr>
          <w:ilvl w:val="0"/>
          <w:numId w:val="5"/>
        </w:numPr>
        <w:spacing w:line="360" w:lineRule="auto"/>
        <w:rPr>
          <w:rFonts w:hint="eastAsia" w:ascii="宋体" w:hAnsi="宋体"/>
          <w:sz w:val="21"/>
        </w:rPr>
      </w:pPr>
      <w:r>
        <w:rPr>
          <w:rFonts w:hint="eastAsia" w:ascii="宋体" w:hAnsi="宋体"/>
          <w:sz w:val="21"/>
        </w:rPr>
        <w:t>三项匹配：</w:t>
      </w:r>
      <w:r>
        <w:rPr>
          <w:rFonts w:hint="eastAsia"/>
          <w:sz w:val="21"/>
        </w:rPr>
        <w:t>薪酬水平与公司财务支付能力相匹配；薪酬结构与职位特征相匹配</w:t>
      </w:r>
      <w:r>
        <w:rPr>
          <w:rFonts w:hint="eastAsia" w:ascii="宋体" w:hAnsi="宋体"/>
          <w:sz w:val="21"/>
        </w:rPr>
        <w:t>；</w:t>
      </w:r>
      <w:r>
        <w:rPr>
          <w:rFonts w:hint="eastAsia"/>
          <w:sz w:val="21"/>
        </w:rPr>
        <w:t>风险收入与考核结果相匹配。</w:t>
      </w:r>
    </w:p>
    <w:p>
      <w:pPr>
        <w:pStyle w:val="6"/>
        <w:rPr>
          <w:rFonts w:hint="eastAsia"/>
          <w:sz w:val="21"/>
          <w:szCs w:val="21"/>
        </w:rPr>
      </w:pPr>
      <w:r>
        <w:rPr>
          <w:rFonts w:hint="eastAsia"/>
          <w:sz w:val="21"/>
          <w:szCs w:val="21"/>
        </w:rPr>
        <w:t>核心人员股权管理的基本原则包括：</w:t>
      </w:r>
    </w:p>
    <w:p>
      <w:pPr>
        <w:pStyle w:val="7"/>
        <w:numPr>
          <w:ilvl w:val="0"/>
          <w:numId w:val="8"/>
        </w:numPr>
        <w:rPr>
          <w:rFonts w:hint="eastAsia"/>
          <w:sz w:val="21"/>
          <w:szCs w:val="21"/>
        </w:rPr>
      </w:pPr>
      <w:r>
        <w:rPr>
          <w:rFonts w:hint="eastAsia"/>
          <w:sz w:val="21"/>
          <w:szCs w:val="21"/>
        </w:rPr>
        <w:t>核心人员对公司未来发展成败影响重大，长期激励以核心人员为</w:t>
      </w:r>
      <w:bookmarkEnd w:id="6"/>
      <w:r>
        <w:rPr>
          <w:rFonts w:hint="eastAsia"/>
          <w:sz w:val="21"/>
          <w:szCs w:val="21"/>
        </w:rPr>
        <w:t>；</w:t>
      </w:r>
    </w:p>
    <w:p>
      <w:pPr>
        <w:pStyle w:val="7"/>
        <w:spacing w:line="360" w:lineRule="auto"/>
        <w:rPr>
          <w:rFonts w:hint="eastAsia" w:ascii="宋体" w:hAnsi="宋体"/>
          <w:sz w:val="21"/>
        </w:rPr>
      </w:pPr>
      <w:r>
        <w:rPr>
          <w:rFonts w:hint="eastAsia" w:ascii="宋体" w:hAnsi="宋体"/>
          <w:sz w:val="21"/>
        </w:rPr>
        <w:t>个人的长远利益和公司的长远利益相联系；</w:t>
      </w:r>
    </w:p>
    <w:p>
      <w:pPr>
        <w:pStyle w:val="7"/>
        <w:spacing w:line="360" w:lineRule="auto"/>
        <w:rPr>
          <w:rFonts w:hint="eastAsia" w:ascii="宋体" w:hAnsi="宋体"/>
          <w:sz w:val="21"/>
        </w:rPr>
      </w:pPr>
      <w:r>
        <w:rPr>
          <w:rFonts w:hint="eastAsia" w:ascii="宋体" w:hAnsi="宋体"/>
          <w:sz w:val="21"/>
        </w:rPr>
        <w:t>个人的收益必须和公司价值的增长相联系，并和个人工作业绩相结合；</w:t>
      </w:r>
    </w:p>
    <w:p>
      <w:pPr>
        <w:pStyle w:val="7"/>
        <w:spacing w:line="360" w:lineRule="auto"/>
        <w:rPr>
          <w:rFonts w:hint="eastAsia" w:ascii="宋体" w:hAnsi="宋体"/>
          <w:sz w:val="21"/>
        </w:rPr>
      </w:pPr>
      <w:bookmarkStart w:id="7" w:name="_Toc29270713"/>
      <w:r>
        <w:rPr>
          <w:rFonts w:hint="eastAsia" w:ascii="宋体" w:hAnsi="宋体"/>
          <w:sz w:val="21"/>
        </w:rPr>
        <w:t>体现激励与约束相对称的原则，个人在获得股权激励的同时也承担一定的风险</w:t>
      </w:r>
      <w:bookmarkEnd w:id="7"/>
      <w:r>
        <w:rPr>
          <w:rFonts w:hint="eastAsia" w:ascii="宋体" w:hAnsi="宋体"/>
          <w:sz w:val="21"/>
        </w:rPr>
        <w:t>。</w:t>
      </w:r>
    </w:p>
    <w:p>
      <w:pPr>
        <w:pStyle w:val="4"/>
        <w:spacing w:line="360" w:lineRule="auto"/>
        <w:rPr>
          <w:rFonts w:hint="eastAsia"/>
          <w:sz w:val="28"/>
          <w:szCs w:val="28"/>
        </w:rPr>
      </w:pPr>
      <w:bookmarkStart w:id="8" w:name="_Toc60141876"/>
      <w:r>
        <w:rPr>
          <w:rFonts w:hint="eastAsia"/>
          <w:sz w:val="28"/>
          <w:szCs w:val="28"/>
        </w:rPr>
        <w:t>年薪</w:t>
      </w:r>
      <w:bookmarkEnd w:id="8"/>
    </w:p>
    <w:p>
      <w:pPr>
        <w:pStyle w:val="6"/>
        <w:rPr>
          <w:rFonts w:hint="eastAsia"/>
          <w:sz w:val="21"/>
        </w:rPr>
      </w:pPr>
      <w:r>
        <w:rPr>
          <w:rFonts w:hint="eastAsia"/>
          <w:sz w:val="21"/>
        </w:rPr>
        <w:t>公司中高级管理人员（项目经理、部门经理和总经理）实施年薪制。</w:t>
      </w:r>
    </w:p>
    <w:p>
      <w:pPr>
        <w:pStyle w:val="6"/>
        <w:rPr>
          <w:rFonts w:hint="eastAsia"/>
          <w:sz w:val="21"/>
        </w:rPr>
      </w:pPr>
      <w:r>
        <w:rPr>
          <w:rFonts w:hint="eastAsia"/>
          <w:sz w:val="21"/>
        </w:rPr>
        <w:t>基准年薪是职员付出正常努力并正好实现公司设定的业绩目标时所获得的年度薪酬总额。</w:t>
      </w:r>
    </w:p>
    <w:p>
      <w:pPr>
        <w:pStyle w:val="6"/>
        <w:rPr>
          <w:rFonts w:hint="eastAsia"/>
          <w:sz w:val="21"/>
        </w:rPr>
      </w:pPr>
      <w:r>
        <w:rPr>
          <w:rFonts w:hint="eastAsia"/>
          <w:sz w:val="21"/>
        </w:rPr>
        <w:t>基准年薪分为基本年薪和基准绩效年薪：</w:t>
      </w:r>
    </w:p>
    <w:p>
      <w:pPr>
        <w:pStyle w:val="7"/>
        <w:numPr>
          <w:ilvl w:val="0"/>
          <w:numId w:val="9"/>
        </w:numPr>
        <w:rPr>
          <w:rFonts w:hint="eastAsia"/>
          <w:sz w:val="21"/>
        </w:rPr>
      </w:pPr>
      <w:r>
        <w:rPr>
          <w:rFonts w:hint="eastAsia"/>
          <w:sz w:val="21"/>
        </w:rPr>
        <w:t>基本年薪：固定收入</w:t>
      </w:r>
    </w:p>
    <w:p>
      <w:pPr>
        <w:pStyle w:val="7"/>
        <w:numPr>
          <w:ilvl w:val="0"/>
          <w:numId w:val="9"/>
        </w:numPr>
        <w:rPr>
          <w:rFonts w:hint="eastAsia"/>
          <w:sz w:val="21"/>
        </w:rPr>
      </w:pPr>
      <w:r>
        <w:rPr>
          <w:rFonts w:hint="eastAsia"/>
          <w:sz w:val="21"/>
        </w:rPr>
        <w:t>基准绩效年薪：风险收入，正好实现绩效考核目标时获得的薪酬</w:t>
      </w:r>
    </w:p>
    <w:p>
      <w:pPr>
        <w:pStyle w:val="6"/>
        <w:rPr>
          <w:rFonts w:hint="eastAsia"/>
          <w:sz w:val="21"/>
        </w:rPr>
      </w:pPr>
      <w:r>
        <w:rPr>
          <w:rFonts w:hint="eastAsia"/>
          <w:sz w:val="21"/>
        </w:rPr>
        <w:t>实际年薪是指核心人员实际获得的年薪收入，包括：</w:t>
      </w:r>
    </w:p>
    <w:p>
      <w:pPr>
        <w:pStyle w:val="7"/>
        <w:numPr>
          <w:ilvl w:val="0"/>
          <w:numId w:val="10"/>
        </w:numPr>
        <w:rPr>
          <w:rFonts w:hint="eastAsia"/>
          <w:sz w:val="21"/>
        </w:rPr>
      </w:pPr>
      <w:r>
        <w:rPr>
          <w:rFonts w:hint="eastAsia"/>
          <w:sz w:val="21"/>
        </w:rPr>
        <w:t>实际年薪＝基本年薪＋实际绩效年薪</w:t>
      </w:r>
    </w:p>
    <w:p>
      <w:pPr>
        <w:pStyle w:val="7"/>
        <w:numPr>
          <w:ilvl w:val="0"/>
          <w:numId w:val="10"/>
        </w:numPr>
        <w:rPr>
          <w:rFonts w:hint="eastAsia"/>
          <w:sz w:val="21"/>
        </w:rPr>
      </w:pPr>
      <w:r>
        <w:rPr>
          <w:rFonts w:hint="eastAsia"/>
          <w:sz w:val="21"/>
        </w:rPr>
        <w:t>实际绩效年薪＝基准绩效年薪×绩效考核系数</w:t>
      </w:r>
    </w:p>
    <w:p>
      <w:pPr>
        <w:pStyle w:val="6"/>
        <w:rPr>
          <w:rFonts w:hint="eastAsia"/>
          <w:sz w:val="21"/>
        </w:rPr>
      </w:pPr>
      <w:r>
        <w:rPr>
          <w:rFonts w:hint="eastAsia"/>
          <w:sz w:val="21"/>
        </w:rPr>
        <w:t>基本年薪实行按月支付制度，计算公式为“月度基本工资＝基本年薪/12”。</w:t>
      </w:r>
    </w:p>
    <w:p>
      <w:pPr>
        <w:pStyle w:val="6"/>
        <w:spacing w:line="300" w:lineRule="auto"/>
        <w:rPr>
          <w:rFonts w:hint="eastAsia"/>
          <w:sz w:val="21"/>
          <w:szCs w:val="21"/>
        </w:rPr>
      </w:pPr>
      <w:r>
        <w:rPr>
          <w:rFonts w:hint="eastAsia"/>
          <w:sz w:val="21"/>
        </w:rPr>
        <w:t>部门经理（含研发项目经理）的绩效年薪每半年支付一次，计算公式为“半年绩效年薪＝基准绩效年薪/2×半年绩效考核系数”。其中“半年</w:t>
      </w:r>
      <w:r>
        <w:rPr>
          <w:rFonts w:hint="eastAsia"/>
          <w:sz w:val="21"/>
          <w:szCs w:val="21"/>
        </w:rPr>
        <w:t>绩效考核系数＝本年绩效考核得分 / 所有部门经理平均绩效考核得分”。</w:t>
      </w:r>
    </w:p>
    <w:p>
      <w:pPr>
        <w:pStyle w:val="6"/>
        <w:rPr>
          <w:rFonts w:hint="eastAsia"/>
          <w:sz w:val="21"/>
        </w:rPr>
      </w:pPr>
      <w:r>
        <w:rPr>
          <w:rFonts w:hint="eastAsia"/>
          <w:sz w:val="21"/>
        </w:rPr>
        <w:t>总经理的绩效年薪每年支付一次，计算公式为“绩效年薪＝基准绩效年薪×绩效考核系数”。</w:t>
      </w:r>
    </w:p>
    <w:p>
      <w:pPr>
        <w:pStyle w:val="6"/>
        <w:spacing w:line="300" w:lineRule="auto"/>
        <w:rPr>
          <w:rFonts w:hint="eastAsia"/>
          <w:sz w:val="21"/>
          <w:szCs w:val="21"/>
        </w:rPr>
      </w:pPr>
      <w:r>
        <w:rPr>
          <w:rFonts w:hint="eastAsia"/>
          <w:sz w:val="21"/>
          <w:szCs w:val="21"/>
        </w:rPr>
        <w:t>薪酬结构是指固定薪酬（基本年薪）和风险薪酬（基准绩效年薪）在基准年薪中所占的比例。</w:t>
      </w:r>
    </w:p>
    <w:p>
      <w:pPr>
        <w:pStyle w:val="6"/>
        <w:spacing w:line="300" w:lineRule="auto"/>
        <w:rPr>
          <w:rFonts w:hint="eastAsia"/>
          <w:sz w:val="21"/>
          <w:szCs w:val="21"/>
        </w:rPr>
      </w:pPr>
      <w:r>
        <w:rPr>
          <w:rFonts w:hint="eastAsia"/>
          <w:sz w:val="21"/>
          <w:szCs w:val="21"/>
        </w:rPr>
        <w:t>公司中高级管理人员的薪酬结构如下：</w:t>
      </w:r>
    </w:p>
    <w:p>
      <w:pPr>
        <w:pStyle w:val="7"/>
        <w:numPr>
          <w:ilvl w:val="0"/>
          <w:numId w:val="11"/>
        </w:numPr>
        <w:rPr>
          <w:rFonts w:hint="eastAsia"/>
          <w:sz w:val="21"/>
          <w:szCs w:val="21"/>
        </w:rPr>
      </w:pPr>
      <w:r>
        <w:rPr>
          <w:rFonts w:hint="eastAsia"/>
          <w:sz w:val="21"/>
          <w:szCs w:val="21"/>
        </w:rPr>
        <w:t>总经理：基本年薪占基准年薪的40％；基准绩效年薪占基准年薪的60％。</w:t>
      </w:r>
    </w:p>
    <w:p>
      <w:pPr>
        <w:pStyle w:val="7"/>
        <w:rPr>
          <w:rFonts w:hint="eastAsia"/>
          <w:sz w:val="21"/>
        </w:rPr>
      </w:pPr>
      <w:r>
        <w:rPr>
          <w:rFonts w:hint="eastAsia"/>
          <w:sz w:val="21"/>
        </w:rPr>
        <w:t>销售部经理：基本年薪占基准年薪的40％；基准绩效年薪占基准年薪的60％</w:t>
      </w:r>
    </w:p>
    <w:p>
      <w:pPr>
        <w:pStyle w:val="7"/>
        <w:rPr>
          <w:rFonts w:hint="eastAsia"/>
          <w:sz w:val="21"/>
        </w:rPr>
      </w:pPr>
      <w:r>
        <w:rPr>
          <w:rFonts w:hint="eastAsia"/>
          <w:sz w:val="21"/>
        </w:rPr>
        <w:t>综合行政部经理：基本年薪占基准年薪的40％；基准绩效年薪占基准年薪的60％</w:t>
      </w:r>
    </w:p>
    <w:p>
      <w:pPr>
        <w:pStyle w:val="7"/>
        <w:rPr>
          <w:rFonts w:hint="eastAsia"/>
          <w:sz w:val="21"/>
        </w:rPr>
      </w:pPr>
      <w:r>
        <w:rPr>
          <w:rFonts w:hint="eastAsia"/>
          <w:sz w:val="21"/>
        </w:rPr>
        <w:t>研发生产部经理：基本年薪占基准年薪的40％；基准绩效年薪占基准年薪的60％</w:t>
      </w:r>
    </w:p>
    <w:p>
      <w:pPr>
        <w:pStyle w:val="7"/>
        <w:rPr>
          <w:rFonts w:hint="eastAsia"/>
          <w:sz w:val="21"/>
        </w:rPr>
      </w:pPr>
      <w:r>
        <w:rPr>
          <w:rFonts w:hint="eastAsia"/>
          <w:sz w:val="21"/>
        </w:rPr>
        <w:t>技术支持部经理：基本年薪占基准年薪的40％；基准绩效年薪占基准年薪的60％</w:t>
      </w:r>
    </w:p>
    <w:p>
      <w:pPr>
        <w:pStyle w:val="7"/>
        <w:rPr>
          <w:rFonts w:hint="eastAsia"/>
          <w:sz w:val="21"/>
        </w:rPr>
      </w:pPr>
      <w:r>
        <w:rPr>
          <w:rFonts w:hint="eastAsia"/>
          <w:sz w:val="21"/>
        </w:rPr>
        <w:t>研发项目经理：基本年薪占基准年薪的40％；基准绩效年薪占基准年薪的60％。</w:t>
      </w:r>
    </w:p>
    <w:p>
      <w:pPr>
        <w:pStyle w:val="6"/>
        <w:spacing w:line="300" w:lineRule="auto"/>
        <w:rPr>
          <w:rFonts w:hint="eastAsia"/>
          <w:sz w:val="21"/>
          <w:szCs w:val="21"/>
        </w:rPr>
      </w:pPr>
      <w:r>
        <w:rPr>
          <w:rFonts w:hint="eastAsia"/>
          <w:sz w:val="21"/>
          <w:szCs w:val="21"/>
        </w:rPr>
        <w:t>公司中高级管理人员的基准年薪的薪点根据职位价值来确定，职位价值包括基本背景、工作要求、工作条件和工作责任等方面。</w:t>
      </w:r>
    </w:p>
    <w:p>
      <w:pPr>
        <w:pStyle w:val="6"/>
        <w:spacing w:line="300" w:lineRule="auto"/>
        <w:rPr>
          <w:rFonts w:hint="eastAsia"/>
          <w:sz w:val="21"/>
          <w:szCs w:val="21"/>
        </w:rPr>
      </w:pPr>
      <w:r>
        <w:rPr>
          <w:rFonts w:hint="eastAsia"/>
          <w:sz w:val="21"/>
          <w:szCs w:val="21"/>
        </w:rPr>
        <w:t>根据职位的薪点确定职位的薪酬等级。</w:t>
      </w:r>
    </w:p>
    <w:p>
      <w:pPr>
        <w:pStyle w:val="6"/>
        <w:spacing w:line="300" w:lineRule="auto"/>
        <w:rPr>
          <w:rFonts w:hint="eastAsia"/>
          <w:sz w:val="21"/>
          <w:szCs w:val="21"/>
        </w:rPr>
      </w:pPr>
      <w:r>
        <w:rPr>
          <w:rFonts w:hint="eastAsia"/>
          <w:sz w:val="21"/>
          <w:szCs w:val="21"/>
        </w:rPr>
        <w:t>中高级管理人员的薪酬等级根据年度考核结果进行调整，调整办法参见《鼎视通中高级管理人员绩效考核管理制度》。</w:t>
      </w:r>
    </w:p>
    <w:p>
      <w:pPr>
        <w:pStyle w:val="6"/>
        <w:spacing w:line="300" w:lineRule="auto"/>
        <w:rPr>
          <w:rFonts w:hint="eastAsia"/>
          <w:sz w:val="21"/>
          <w:szCs w:val="21"/>
        </w:rPr>
      </w:pPr>
      <w:r>
        <w:rPr>
          <w:rFonts w:hint="eastAsia"/>
          <w:sz w:val="21"/>
          <w:szCs w:val="21"/>
        </w:rPr>
        <w:t>薪点等级越高，薪点差距越高，薪酬等级及其薪点参见附录。</w:t>
      </w:r>
    </w:p>
    <w:p>
      <w:pPr>
        <w:pStyle w:val="6"/>
        <w:spacing w:line="300" w:lineRule="auto"/>
        <w:rPr>
          <w:rFonts w:hint="eastAsia"/>
          <w:sz w:val="21"/>
          <w:szCs w:val="21"/>
        </w:rPr>
      </w:pPr>
      <w:r>
        <w:rPr>
          <w:rFonts w:hint="eastAsia"/>
          <w:sz w:val="21"/>
          <w:szCs w:val="21"/>
        </w:rPr>
        <w:t>中高级管理的基准年薪的计算公式为“基准年薪＝薪点×薪点支付标准”</w:t>
      </w:r>
    </w:p>
    <w:p>
      <w:pPr>
        <w:pStyle w:val="6"/>
        <w:spacing w:line="300" w:lineRule="auto"/>
        <w:rPr>
          <w:rFonts w:hint="eastAsia"/>
          <w:sz w:val="21"/>
          <w:szCs w:val="21"/>
        </w:rPr>
      </w:pPr>
      <w:r>
        <w:rPr>
          <w:rFonts w:hint="eastAsia"/>
          <w:sz w:val="21"/>
          <w:szCs w:val="21"/>
        </w:rPr>
        <w:t>薪点支付标准是每一薪点公司需要支付的薪酬数额，体现公司薪酬水平的市场水平。</w:t>
      </w:r>
    </w:p>
    <w:p>
      <w:pPr>
        <w:pStyle w:val="6"/>
        <w:spacing w:line="300" w:lineRule="auto"/>
        <w:rPr>
          <w:rFonts w:hint="eastAsia"/>
          <w:sz w:val="21"/>
          <w:szCs w:val="21"/>
        </w:rPr>
      </w:pPr>
      <w:r>
        <w:rPr>
          <w:rFonts w:hint="eastAsia"/>
          <w:sz w:val="21"/>
          <w:szCs w:val="21"/>
        </w:rPr>
        <w:t>公司每年根据外部市场情况和公司的财务支付能力调整薪点支付标准，薪点支付标准调整方案由总经理提出，经董事会审批后执行。</w:t>
      </w:r>
    </w:p>
    <w:p>
      <w:pPr>
        <w:pStyle w:val="4"/>
        <w:spacing w:line="360" w:lineRule="auto"/>
        <w:rPr>
          <w:rFonts w:hint="eastAsia"/>
          <w:sz w:val="28"/>
          <w:szCs w:val="28"/>
        </w:rPr>
      </w:pPr>
      <w:bookmarkStart w:id="9" w:name="_Toc60141877"/>
      <w:r>
        <w:rPr>
          <w:rFonts w:hint="eastAsia"/>
          <w:sz w:val="28"/>
          <w:szCs w:val="28"/>
        </w:rPr>
        <w:t>实股</w:t>
      </w:r>
      <w:bookmarkEnd w:id="9"/>
    </w:p>
    <w:p>
      <w:pPr>
        <w:pStyle w:val="6"/>
        <w:spacing w:line="300" w:lineRule="auto"/>
        <w:rPr>
          <w:rFonts w:hint="eastAsia"/>
          <w:sz w:val="21"/>
          <w:szCs w:val="21"/>
        </w:rPr>
      </w:pPr>
      <w:r>
        <w:rPr>
          <w:rFonts w:hint="eastAsia"/>
          <w:sz w:val="21"/>
          <w:szCs w:val="21"/>
        </w:rPr>
        <w:t>为吸引公司现有核心人员成为股东成员，公司对现有部分核心人员实施实股方式的股权激励计划，实股的授予对象是具有良好的团队意识和认同公司价值观的核心管理人员。</w:t>
      </w:r>
    </w:p>
    <w:p>
      <w:pPr>
        <w:pStyle w:val="6"/>
        <w:spacing w:line="300" w:lineRule="auto"/>
        <w:rPr>
          <w:rFonts w:hint="eastAsia"/>
          <w:sz w:val="21"/>
          <w:szCs w:val="21"/>
        </w:rPr>
      </w:pPr>
      <w:r>
        <w:rPr>
          <w:rFonts w:hint="eastAsia"/>
          <w:sz w:val="21"/>
          <w:szCs w:val="21"/>
        </w:rPr>
        <w:t>实股的股票来源是现有股东等比出让，出让的数量等于激励对象认购的数量。实股的授予数量对不同的核心人员有不同的限额，其中：</w:t>
      </w:r>
    </w:p>
    <w:p>
      <w:pPr>
        <w:pStyle w:val="7"/>
        <w:numPr>
          <w:ilvl w:val="0"/>
          <w:numId w:val="12"/>
        </w:numPr>
        <w:rPr>
          <w:rFonts w:hint="eastAsia"/>
          <w:sz w:val="21"/>
          <w:szCs w:val="21"/>
        </w:rPr>
      </w:pPr>
      <w:r>
        <w:rPr>
          <w:rFonts w:hint="eastAsia"/>
          <w:sz w:val="21"/>
          <w:szCs w:val="21"/>
        </w:rPr>
        <w:t>工作时间一年以上可以认购总股本10％以内</w:t>
      </w:r>
    </w:p>
    <w:p>
      <w:pPr>
        <w:pStyle w:val="7"/>
        <w:rPr>
          <w:rFonts w:hint="eastAsia"/>
          <w:sz w:val="21"/>
        </w:rPr>
      </w:pPr>
      <w:r>
        <w:rPr>
          <w:rFonts w:hint="eastAsia"/>
          <w:sz w:val="21"/>
        </w:rPr>
        <w:t>工作时间半年以上可以认购总股本8％以内</w:t>
      </w:r>
    </w:p>
    <w:p>
      <w:pPr>
        <w:pStyle w:val="7"/>
        <w:rPr>
          <w:rFonts w:hint="eastAsia"/>
          <w:sz w:val="21"/>
        </w:rPr>
      </w:pPr>
      <w:r>
        <w:rPr>
          <w:rFonts w:hint="eastAsia"/>
          <w:sz w:val="21"/>
        </w:rPr>
        <w:t>工作时间半年以内可以认购总股本3％以内</w:t>
      </w:r>
    </w:p>
    <w:p>
      <w:pPr>
        <w:pStyle w:val="6"/>
        <w:numPr>
          <w:ilvl w:val="0"/>
          <w:numId w:val="0"/>
        </w:numPr>
        <w:spacing w:line="300" w:lineRule="auto"/>
        <w:ind w:firstLine="840" w:firstLineChars="400"/>
        <w:rPr>
          <w:rFonts w:hint="eastAsia"/>
          <w:sz w:val="21"/>
          <w:szCs w:val="21"/>
        </w:rPr>
      </w:pPr>
      <w:r>
        <w:rPr>
          <w:rFonts w:hint="eastAsia"/>
          <w:sz w:val="21"/>
          <w:szCs w:val="21"/>
        </w:rPr>
        <w:t>限额内数量由被激励对象自主选择，但是只能一次性认购。</w:t>
      </w:r>
    </w:p>
    <w:p>
      <w:pPr>
        <w:pStyle w:val="6"/>
        <w:spacing w:line="300" w:lineRule="auto"/>
        <w:rPr>
          <w:rFonts w:hint="eastAsia"/>
          <w:sz w:val="21"/>
          <w:szCs w:val="21"/>
        </w:rPr>
      </w:pPr>
      <w:r>
        <w:rPr>
          <w:rFonts w:hint="eastAsia"/>
          <w:sz w:val="21"/>
          <w:szCs w:val="21"/>
        </w:rPr>
        <w:t>实股的授予程序包括：</w:t>
      </w:r>
    </w:p>
    <w:p>
      <w:pPr>
        <w:pStyle w:val="7"/>
        <w:numPr>
          <w:ilvl w:val="0"/>
          <w:numId w:val="13"/>
        </w:numPr>
        <w:rPr>
          <w:rFonts w:hint="eastAsia"/>
          <w:sz w:val="21"/>
        </w:rPr>
      </w:pPr>
      <w:r>
        <w:rPr>
          <w:rFonts w:hint="eastAsia"/>
          <w:sz w:val="21"/>
        </w:rPr>
        <w:t>总经理提议激励对象名单和实股认购上限</w:t>
      </w:r>
    </w:p>
    <w:p>
      <w:pPr>
        <w:pStyle w:val="7"/>
        <w:numPr>
          <w:ilvl w:val="0"/>
          <w:numId w:val="13"/>
        </w:numPr>
        <w:rPr>
          <w:rFonts w:hint="eastAsia"/>
          <w:sz w:val="21"/>
        </w:rPr>
      </w:pPr>
      <w:r>
        <w:rPr>
          <w:rFonts w:hint="eastAsia"/>
          <w:sz w:val="21"/>
        </w:rPr>
        <w:t>董事会审议</w:t>
      </w:r>
    </w:p>
    <w:p>
      <w:pPr>
        <w:pStyle w:val="7"/>
        <w:numPr>
          <w:ilvl w:val="0"/>
          <w:numId w:val="13"/>
        </w:numPr>
        <w:rPr>
          <w:rFonts w:hint="eastAsia"/>
          <w:sz w:val="21"/>
        </w:rPr>
      </w:pPr>
      <w:r>
        <w:rPr>
          <w:rFonts w:hint="eastAsia"/>
          <w:sz w:val="21"/>
        </w:rPr>
        <w:t>股东会批准</w:t>
      </w:r>
    </w:p>
    <w:p>
      <w:pPr>
        <w:pStyle w:val="6"/>
        <w:spacing w:line="300" w:lineRule="auto"/>
        <w:rPr>
          <w:rFonts w:hint="eastAsia"/>
          <w:sz w:val="21"/>
          <w:szCs w:val="21"/>
        </w:rPr>
      </w:pPr>
      <w:r>
        <w:rPr>
          <w:rFonts w:hint="eastAsia"/>
          <w:sz w:val="21"/>
          <w:szCs w:val="21"/>
        </w:rPr>
        <w:t>实股的定价原则包括：</w:t>
      </w:r>
    </w:p>
    <w:p>
      <w:pPr>
        <w:pStyle w:val="7"/>
        <w:numPr>
          <w:ilvl w:val="0"/>
          <w:numId w:val="14"/>
        </w:numPr>
        <w:rPr>
          <w:rFonts w:hint="eastAsia"/>
          <w:sz w:val="21"/>
        </w:rPr>
      </w:pPr>
      <w:r>
        <w:rPr>
          <w:rFonts w:hint="eastAsia"/>
          <w:sz w:val="21"/>
        </w:rPr>
        <w:t>遵循通行做法，按当期每股净资产计算</w:t>
      </w:r>
    </w:p>
    <w:p>
      <w:pPr>
        <w:pStyle w:val="7"/>
        <w:numPr>
          <w:ilvl w:val="0"/>
          <w:numId w:val="14"/>
        </w:numPr>
        <w:rPr>
          <w:rFonts w:hint="eastAsia"/>
          <w:sz w:val="21"/>
        </w:rPr>
      </w:pPr>
      <w:r>
        <w:rPr>
          <w:rFonts w:hint="eastAsia"/>
          <w:sz w:val="21"/>
        </w:rPr>
        <w:t>针对具体的激励对象，可以采用折价或者平价的转让方式</w:t>
      </w:r>
    </w:p>
    <w:p>
      <w:pPr>
        <w:pStyle w:val="6"/>
        <w:spacing w:line="300" w:lineRule="auto"/>
        <w:rPr>
          <w:rFonts w:hint="eastAsia"/>
          <w:sz w:val="21"/>
          <w:szCs w:val="21"/>
        </w:rPr>
      </w:pPr>
      <w:r>
        <w:rPr>
          <w:rFonts w:hint="eastAsia"/>
          <w:sz w:val="21"/>
          <w:szCs w:val="21"/>
        </w:rPr>
        <w:t>公司根据不同的激励对象采用不同的实股的转让价格，实股转让价格的计算方式包括：</w:t>
      </w:r>
    </w:p>
    <w:p>
      <w:pPr>
        <w:pStyle w:val="7"/>
        <w:numPr>
          <w:ilvl w:val="0"/>
          <w:numId w:val="15"/>
        </w:numPr>
        <w:rPr>
          <w:rFonts w:hint="eastAsia"/>
          <w:sz w:val="21"/>
        </w:rPr>
      </w:pPr>
      <w:r>
        <w:rPr>
          <w:rFonts w:hint="eastAsia"/>
          <w:sz w:val="21"/>
        </w:rPr>
        <w:t>折价一：实股价格＝净现金 / 股本</w:t>
      </w:r>
    </w:p>
    <w:p>
      <w:pPr>
        <w:pStyle w:val="7"/>
        <w:numPr>
          <w:ilvl w:val="0"/>
          <w:numId w:val="15"/>
        </w:numPr>
        <w:rPr>
          <w:rFonts w:hint="eastAsia"/>
          <w:sz w:val="21"/>
        </w:rPr>
      </w:pPr>
      <w:r>
        <w:rPr>
          <w:rFonts w:hint="eastAsia"/>
          <w:sz w:val="21"/>
        </w:rPr>
        <w:t>折价二：实股价格＝ 有形净资产 / 股本</w:t>
      </w:r>
    </w:p>
    <w:p>
      <w:pPr>
        <w:pStyle w:val="7"/>
        <w:numPr>
          <w:ilvl w:val="0"/>
          <w:numId w:val="15"/>
        </w:numPr>
        <w:rPr>
          <w:rFonts w:hint="eastAsia"/>
          <w:sz w:val="21"/>
        </w:rPr>
      </w:pPr>
      <w:r>
        <w:rPr>
          <w:rFonts w:hint="eastAsia"/>
          <w:sz w:val="21"/>
        </w:rPr>
        <w:t>平价：实股价格＝净资产/股本</w:t>
      </w:r>
    </w:p>
    <w:p>
      <w:pPr>
        <w:pStyle w:val="6"/>
        <w:spacing w:line="300" w:lineRule="auto"/>
        <w:rPr>
          <w:rFonts w:hint="eastAsia"/>
          <w:sz w:val="21"/>
          <w:szCs w:val="21"/>
        </w:rPr>
      </w:pPr>
      <w:r>
        <w:rPr>
          <w:rFonts w:hint="eastAsia"/>
          <w:sz w:val="21"/>
          <w:szCs w:val="21"/>
        </w:rPr>
        <w:t>激励对象在完成实股认购后，需要和现有股东签订《股权认购</w:t>
      </w:r>
      <w:r>
        <w:rPr>
          <w:rFonts w:hint="eastAsia"/>
          <w:sz w:val="21"/>
        </w:rPr>
        <w:t>协议》（参看附录二），其内容包括：</w:t>
      </w:r>
    </w:p>
    <w:p>
      <w:pPr>
        <w:pStyle w:val="7"/>
        <w:numPr>
          <w:ilvl w:val="0"/>
          <w:numId w:val="16"/>
        </w:numPr>
        <w:rPr>
          <w:rFonts w:hint="eastAsia"/>
          <w:sz w:val="21"/>
        </w:rPr>
      </w:pPr>
      <w:r>
        <w:rPr>
          <w:rFonts w:hint="eastAsia"/>
          <w:sz w:val="21"/>
        </w:rPr>
        <w:t>数量（激励对象在限额内可以自主选择）</w:t>
      </w:r>
    </w:p>
    <w:p>
      <w:pPr>
        <w:pStyle w:val="7"/>
        <w:numPr>
          <w:ilvl w:val="0"/>
          <w:numId w:val="16"/>
        </w:numPr>
        <w:rPr>
          <w:rFonts w:hint="eastAsia"/>
          <w:sz w:val="21"/>
        </w:rPr>
      </w:pPr>
      <w:r>
        <w:rPr>
          <w:rFonts w:hint="eastAsia"/>
          <w:sz w:val="21"/>
        </w:rPr>
        <w:t>价格</w:t>
      </w:r>
    </w:p>
    <w:p>
      <w:pPr>
        <w:pStyle w:val="7"/>
        <w:numPr>
          <w:ilvl w:val="0"/>
          <w:numId w:val="16"/>
        </w:numPr>
        <w:rPr>
          <w:rFonts w:hint="eastAsia"/>
          <w:sz w:val="21"/>
        </w:rPr>
      </w:pPr>
      <w:r>
        <w:rPr>
          <w:rFonts w:hint="eastAsia"/>
          <w:sz w:val="21"/>
        </w:rPr>
        <w:t>支付方式</w:t>
      </w:r>
    </w:p>
    <w:p>
      <w:pPr>
        <w:pStyle w:val="6"/>
        <w:spacing w:line="300" w:lineRule="auto"/>
        <w:rPr>
          <w:rFonts w:hint="eastAsia"/>
          <w:sz w:val="21"/>
          <w:szCs w:val="21"/>
        </w:rPr>
      </w:pPr>
      <w:r>
        <w:rPr>
          <w:rFonts w:hint="eastAsia"/>
          <w:sz w:val="21"/>
          <w:szCs w:val="21"/>
        </w:rPr>
        <w:t>实股支付方式分为两种：</w:t>
      </w:r>
    </w:p>
    <w:p>
      <w:pPr>
        <w:pStyle w:val="7"/>
        <w:numPr>
          <w:ilvl w:val="0"/>
          <w:numId w:val="17"/>
        </w:numPr>
        <w:rPr>
          <w:rFonts w:hint="eastAsia"/>
          <w:sz w:val="21"/>
        </w:rPr>
      </w:pPr>
      <w:r>
        <w:rPr>
          <w:rFonts w:hint="eastAsia"/>
          <w:sz w:val="21"/>
        </w:rPr>
        <w:t>一次支付：认购日期（签订认购协议的日期）10天内支付100％</w:t>
      </w:r>
    </w:p>
    <w:p>
      <w:pPr>
        <w:pStyle w:val="7"/>
        <w:numPr>
          <w:ilvl w:val="0"/>
          <w:numId w:val="17"/>
        </w:numPr>
        <w:rPr>
          <w:rFonts w:hint="eastAsia"/>
          <w:sz w:val="21"/>
        </w:rPr>
      </w:pPr>
      <w:r>
        <w:rPr>
          <w:rFonts w:hint="eastAsia"/>
          <w:sz w:val="21"/>
        </w:rPr>
        <w:t>两次支付：第一次，当年认购日期10天内支付50％；第二次，次年认购日期10天内支付50%</w:t>
      </w:r>
    </w:p>
    <w:p>
      <w:pPr>
        <w:pStyle w:val="6"/>
        <w:spacing w:line="300" w:lineRule="auto"/>
        <w:rPr>
          <w:rFonts w:hint="eastAsia"/>
          <w:sz w:val="21"/>
          <w:szCs w:val="21"/>
        </w:rPr>
      </w:pPr>
      <w:r>
        <w:rPr>
          <w:rFonts w:hint="eastAsia"/>
          <w:sz w:val="21"/>
          <w:szCs w:val="21"/>
        </w:rPr>
        <w:t>按照认购协议履约的实股部分由新股东和现有股东签订《实股内部股权转让协议》（参看附录三）。</w:t>
      </w:r>
    </w:p>
    <w:p>
      <w:pPr>
        <w:pStyle w:val="6"/>
        <w:spacing w:line="300" w:lineRule="auto"/>
        <w:rPr>
          <w:rFonts w:hint="eastAsia"/>
          <w:sz w:val="21"/>
          <w:szCs w:val="21"/>
        </w:rPr>
      </w:pPr>
      <w:r>
        <w:rPr>
          <w:rFonts w:hint="eastAsia"/>
          <w:sz w:val="21"/>
          <w:szCs w:val="21"/>
        </w:rPr>
        <w:t>实股的权利包括：</w:t>
      </w:r>
    </w:p>
    <w:p>
      <w:pPr>
        <w:pStyle w:val="7"/>
        <w:numPr>
          <w:ilvl w:val="0"/>
          <w:numId w:val="18"/>
        </w:numPr>
        <w:rPr>
          <w:rFonts w:hint="eastAsia"/>
          <w:sz w:val="21"/>
        </w:rPr>
      </w:pPr>
      <w:r>
        <w:rPr>
          <w:rFonts w:hint="eastAsia"/>
          <w:sz w:val="21"/>
        </w:rPr>
        <w:t>有分红权（在认购协议完全履约后补发持有期间的分红所得）</w:t>
      </w:r>
    </w:p>
    <w:p>
      <w:pPr>
        <w:pStyle w:val="7"/>
        <w:numPr>
          <w:ilvl w:val="0"/>
          <w:numId w:val="18"/>
        </w:numPr>
        <w:rPr>
          <w:rFonts w:hint="eastAsia"/>
          <w:sz w:val="21"/>
        </w:rPr>
      </w:pPr>
      <w:r>
        <w:rPr>
          <w:rFonts w:hint="eastAsia"/>
          <w:sz w:val="21"/>
        </w:rPr>
        <w:t>有表决权</w:t>
      </w:r>
    </w:p>
    <w:p>
      <w:pPr>
        <w:pStyle w:val="7"/>
        <w:numPr>
          <w:ilvl w:val="0"/>
          <w:numId w:val="18"/>
        </w:numPr>
        <w:rPr>
          <w:rFonts w:hint="eastAsia"/>
          <w:sz w:val="21"/>
        </w:rPr>
      </w:pPr>
      <w:r>
        <w:rPr>
          <w:rFonts w:hint="eastAsia"/>
          <w:sz w:val="21"/>
        </w:rPr>
        <w:t>有资产增值收益权</w:t>
      </w:r>
    </w:p>
    <w:p>
      <w:pPr>
        <w:pStyle w:val="7"/>
        <w:numPr>
          <w:ilvl w:val="0"/>
          <w:numId w:val="18"/>
        </w:numPr>
        <w:rPr>
          <w:rFonts w:hint="eastAsia"/>
          <w:sz w:val="21"/>
        </w:rPr>
      </w:pPr>
      <w:r>
        <w:rPr>
          <w:rFonts w:hint="eastAsia"/>
          <w:sz w:val="21"/>
        </w:rPr>
        <w:t>没有出让权和出售权</w:t>
      </w:r>
    </w:p>
    <w:p>
      <w:pPr>
        <w:pStyle w:val="6"/>
        <w:spacing w:line="300" w:lineRule="auto"/>
        <w:rPr>
          <w:rFonts w:hint="eastAsia"/>
          <w:sz w:val="21"/>
          <w:szCs w:val="21"/>
        </w:rPr>
      </w:pPr>
      <w:r>
        <w:rPr>
          <w:rFonts w:hint="eastAsia"/>
          <w:sz w:val="21"/>
          <w:szCs w:val="21"/>
        </w:rPr>
        <w:t>实股可以转化成为普通股，具体的转化方式如下：</w:t>
      </w:r>
    </w:p>
    <w:p>
      <w:pPr>
        <w:pStyle w:val="7"/>
        <w:numPr>
          <w:ilvl w:val="0"/>
          <w:numId w:val="19"/>
        </w:numPr>
        <w:rPr>
          <w:rFonts w:hint="eastAsia"/>
          <w:sz w:val="21"/>
        </w:rPr>
      </w:pPr>
      <w:r>
        <w:rPr>
          <w:rFonts w:hint="eastAsia"/>
          <w:sz w:val="21"/>
        </w:rPr>
        <w:t>实股认购日期1年后，已经交付股金部分转化成为普通股</w:t>
      </w:r>
    </w:p>
    <w:p>
      <w:pPr>
        <w:pStyle w:val="7"/>
        <w:numPr>
          <w:ilvl w:val="0"/>
          <w:numId w:val="19"/>
        </w:numPr>
        <w:rPr>
          <w:rFonts w:hint="eastAsia"/>
          <w:sz w:val="21"/>
        </w:rPr>
      </w:pPr>
      <w:r>
        <w:rPr>
          <w:rFonts w:hint="eastAsia"/>
          <w:sz w:val="21"/>
        </w:rPr>
        <w:t>没有履约交付股金部分视同自动放弃</w:t>
      </w:r>
    </w:p>
    <w:p>
      <w:pPr>
        <w:pStyle w:val="7"/>
        <w:numPr>
          <w:ilvl w:val="0"/>
          <w:numId w:val="19"/>
        </w:numPr>
        <w:rPr>
          <w:rFonts w:hint="eastAsia"/>
          <w:sz w:val="21"/>
        </w:rPr>
      </w:pPr>
      <w:r>
        <w:rPr>
          <w:rFonts w:hint="eastAsia"/>
          <w:sz w:val="21"/>
          <w:szCs w:val="21"/>
        </w:rPr>
        <w:t>实股的转化</w:t>
      </w:r>
      <w:r>
        <w:rPr>
          <w:rFonts w:hint="eastAsia"/>
          <w:sz w:val="21"/>
        </w:rPr>
        <w:t>成为普通股后方可办理股权变更法律手续</w:t>
      </w:r>
    </w:p>
    <w:p>
      <w:pPr>
        <w:pStyle w:val="6"/>
        <w:spacing w:line="300" w:lineRule="auto"/>
        <w:rPr>
          <w:rFonts w:hint="eastAsia"/>
          <w:sz w:val="21"/>
          <w:szCs w:val="21"/>
        </w:rPr>
      </w:pPr>
      <w:r>
        <w:rPr>
          <w:rFonts w:hint="eastAsia"/>
          <w:sz w:val="21"/>
          <w:szCs w:val="21"/>
        </w:rPr>
        <w:t>转化之后的实股退出同普通股。</w:t>
      </w:r>
    </w:p>
    <w:p>
      <w:pPr>
        <w:pStyle w:val="6"/>
        <w:spacing w:line="300" w:lineRule="auto"/>
        <w:rPr>
          <w:rFonts w:hint="eastAsia"/>
          <w:sz w:val="21"/>
          <w:szCs w:val="21"/>
        </w:rPr>
      </w:pPr>
      <w:r>
        <w:rPr>
          <w:rFonts w:hint="eastAsia"/>
          <w:sz w:val="21"/>
          <w:szCs w:val="21"/>
        </w:rPr>
        <w:t>转化之前的实股的退出方式：</w:t>
      </w:r>
    </w:p>
    <w:p>
      <w:pPr>
        <w:pStyle w:val="7"/>
        <w:numPr>
          <w:ilvl w:val="0"/>
          <w:numId w:val="20"/>
        </w:numPr>
        <w:rPr>
          <w:rFonts w:hint="eastAsia"/>
          <w:sz w:val="21"/>
        </w:rPr>
      </w:pPr>
      <w:r>
        <w:rPr>
          <w:rFonts w:hint="eastAsia"/>
          <w:sz w:val="21"/>
        </w:rPr>
        <w:t>已经支付股金的实股以认购价格出让给原有股东。</w:t>
      </w:r>
    </w:p>
    <w:p>
      <w:pPr>
        <w:pStyle w:val="7"/>
        <w:numPr>
          <w:ilvl w:val="0"/>
          <w:numId w:val="20"/>
        </w:numPr>
        <w:rPr>
          <w:rFonts w:hint="eastAsia"/>
          <w:sz w:val="21"/>
        </w:rPr>
      </w:pPr>
      <w:r>
        <w:rPr>
          <w:rFonts w:hint="eastAsia"/>
          <w:sz w:val="21"/>
        </w:rPr>
        <w:t>未支付股金的实股自动失效。</w:t>
      </w:r>
    </w:p>
    <w:p>
      <w:pPr>
        <w:pStyle w:val="4"/>
        <w:spacing w:line="360" w:lineRule="auto"/>
        <w:rPr>
          <w:rFonts w:hint="eastAsia"/>
          <w:sz w:val="28"/>
          <w:szCs w:val="28"/>
        </w:rPr>
      </w:pPr>
      <w:bookmarkStart w:id="10" w:name="_Toc60141878"/>
      <w:bookmarkStart w:id="11" w:name="_Toc36864097"/>
      <w:r>
        <w:rPr>
          <w:rFonts w:hint="eastAsia"/>
          <w:sz w:val="28"/>
          <w:szCs w:val="28"/>
        </w:rPr>
        <w:t>期股</w:t>
      </w:r>
      <w:bookmarkEnd w:id="10"/>
      <w:bookmarkEnd w:id="11"/>
    </w:p>
    <w:p>
      <w:pPr>
        <w:pStyle w:val="6"/>
        <w:spacing w:line="300" w:lineRule="auto"/>
        <w:rPr>
          <w:rFonts w:hint="eastAsia"/>
          <w:sz w:val="21"/>
          <w:szCs w:val="21"/>
        </w:rPr>
      </w:pPr>
      <w:bookmarkStart w:id="12" w:name="_Toc55702529"/>
      <w:r>
        <w:rPr>
          <w:rFonts w:hint="eastAsia"/>
          <w:sz w:val="21"/>
          <w:szCs w:val="21"/>
        </w:rPr>
        <w:t>为吸引公司现有核心人员成为股东成员，公司对现有部分核心人员实施期股方式的股权激励计划，期股的授予对象是具有良好的团队意识和认同公司价值观的核心管理人员。</w:t>
      </w:r>
    </w:p>
    <w:p>
      <w:pPr>
        <w:pStyle w:val="6"/>
        <w:spacing w:line="300" w:lineRule="auto"/>
        <w:rPr>
          <w:rFonts w:hint="eastAsia"/>
          <w:sz w:val="21"/>
          <w:szCs w:val="21"/>
        </w:rPr>
      </w:pPr>
      <w:r>
        <w:rPr>
          <w:rFonts w:hint="eastAsia"/>
          <w:sz w:val="21"/>
          <w:szCs w:val="21"/>
        </w:rPr>
        <w:t>期股的股票来源是现有股东等比出让。</w:t>
      </w:r>
    </w:p>
    <w:p>
      <w:pPr>
        <w:pStyle w:val="6"/>
        <w:spacing w:line="300" w:lineRule="auto"/>
        <w:rPr>
          <w:rFonts w:hint="eastAsia"/>
          <w:sz w:val="21"/>
          <w:szCs w:val="21"/>
        </w:rPr>
      </w:pPr>
      <w:r>
        <w:rPr>
          <w:rFonts w:hint="eastAsia"/>
          <w:sz w:val="21"/>
          <w:szCs w:val="21"/>
        </w:rPr>
        <w:t>期股的定价原则：</w:t>
      </w:r>
    </w:p>
    <w:p>
      <w:pPr>
        <w:pStyle w:val="7"/>
        <w:numPr>
          <w:ilvl w:val="0"/>
          <w:numId w:val="21"/>
        </w:numPr>
        <w:rPr>
          <w:rFonts w:hint="eastAsia"/>
          <w:sz w:val="21"/>
        </w:rPr>
      </w:pPr>
      <w:r>
        <w:rPr>
          <w:rFonts w:hint="eastAsia"/>
          <w:sz w:val="21"/>
        </w:rPr>
        <w:t>遵循通行做法，按当期每股净资产计算</w:t>
      </w:r>
    </w:p>
    <w:p>
      <w:pPr>
        <w:pStyle w:val="7"/>
        <w:numPr>
          <w:ilvl w:val="0"/>
          <w:numId w:val="21"/>
        </w:numPr>
        <w:rPr>
          <w:rFonts w:hint="eastAsia"/>
        </w:rPr>
      </w:pPr>
      <w:r>
        <w:rPr>
          <w:rFonts w:hint="eastAsia"/>
          <w:sz w:val="21"/>
        </w:rPr>
        <w:t>针对具体的激励对象，可以采用折价或者平价的转让方式</w:t>
      </w:r>
    </w:p>
    <w:p>
      <w:pPr>
        <w:pStyle w:val="6"/>
        <w:spacing w:line="300" w:lineRule="auto"/>
        <w:rPr>
          <w:rFonts w:hint="eastAsia"/>
          <w:sz w:val="21"/>
          <w:szCs w:val="21"/>
        </w:rPr>
      </w:pPr>
      <w:r>
        <w:rPr>
          <w:rFonts w:hint="eastAsia"/>
          <w:sz w:val="21"/>
          <w:szCs w:val="21"/>
        </w:rPr>
        <w:t>期股的授予程序：</w:t>
      </w:r>
    </w:p>
    <w:p>
      <w:pPr>
        <w:pStyle w:val="7"/>
        <w:numPr>
          <w:ilvl w:val="0"/>
          <w:numId w:val="22"/>
        </w:numPr>
        <w:rPr>
          <w:rFonts w:hint="eastAsia"/>
          <w:sz w:val="21"/>
        </w:rPr>
      </w:pPr>
      <w:r>
        <w:rPr>
          <w:rFonts w:hint="eastAsia"/>
          <w:sz w:val="21"/>
        </w:rPr>
        <w:t>总经理提案</w:t>
      </w:r>
    </w:p>
    <w:p>
      <w:pPr>
        <w:pStyle w:val="7"/>
        <w:numPr>
          <w:ilvl w:val="0"/>
          <w:numId w:val="22"/>
        </w:numPr>
        <w:rPr>
          <w:rFonts w:hint="eastAsia"/>
          <w:sz w:val="21"/>
        </w:rPr>
      </w:pPr>
      <w:r>
        <w:rPr>
          <w:rFonts w:hint="eastAsia"/>
          <w:sz w:val="21"/>
        </w:rPr>
        <w:t>董事会审议</w:t>
      </w:r>
    </w:p>
    <w:p>
      <w:pPr>
        <w:pStyle w:val="7"/>
        <w:numPr>
          <w:ilvl w:val="0"/>
          <w:numId w:val="22"/>
        </w:numPr>
        <w:rPr>
          <w:rFonts w:hint="eastAsia"/>
          <w:sz w:val="21"/>
        </w:rPr>
      </w:pPr>
      <w:r>
        <w:rPr>
          <w:rFonts w:hint="eastAsia"/>
          <w:sz w:val="21"/>
        </w:rPr>
        <w:t>股东会批准</w:t>
      </w:r>
    </w:p>
    <w:bookmarkEnd w:id="12"/>
    <w:p>
      <w:pPr>
        <w:pStyle w:val="6"/>
        <w:rPr>
          <w:rFonts w:hint="eastAsia"/>
          <w:sz w:val="21"/>
          <w:szCs w:val="21"/>
        </w:rPr>
      </w:pPr>
      <w:r>
        <w:rPr>
          <w:rFonts w:hint="eastAsia"/>
          <w:sz w:val="21"/>
        </w:rPr>
        <w:t>获得股东会批准之后，激励对象和现有股东签订《期股履约协议》，</w:t>
      </w:r>
      <w:r>
        <w:rPr>
          <w:rFonts w:hint="eastAsia"/>
          <w:sz w:val="21"/>
          <w:szCs w:val="21"/>
        </w:rPr>
        <w:t>期股履约协议内容包括：</w:t>
      </w:r>
    </w:p>
    <w:p>
      <w:pPr>
        <w:pStyle w:val="7"/>
        <w:numPr>
          <w:ilvl w:val="0"/>
          <w:numId w:val="23"/>
        </w:numPr>
        <w:rPr>
          <w:rFonts w:hint="eastAsia"/>
          <w:sz w:val="21"/>
        </w:rPr>
      </w:pPr>
      <w:r>
        <w:rPr>
          <w:rFonts w:hint="eastAsia"/>
          <w:sz w:val="21"/>
        </w:rPr>
        <w:t>激励对象</w:t>
      </w:r>
    </w:p>
    <w:p>
      <w:pPr>
        <w:pStyle w:val="7"/>
        <w:numPr>
          <w:ilvl w:val="0"/>
          <w:numId w:val="23"/>
        </w:numPr>
        <w:rPr>
          <w:rFonts w:hint="eastAsia"/>
          <w:sz w:val="21"/>
        </w:rPr>
      </w:pPr>
      <w:r>
        <w:rPr>
          <w:rFonts w:hint="eastAsia"/>
          <w:sz w:val="21"/>
        </w:rPr>
        <w:t>期股数量</w:t>
      </w:r>
    </w:p>
    <w:p>
      <w:pPr>
        <w:pStyle w:val="7"/>
        <w:numPr>
          <w:ilvl w:val="0"/>
          <w:numId w:val="23"/>
        </w:numPr>
        <w:rPr>
          <w:rFonts w:hint="eastAsia"/>
          <w:sz w:val="21"/>
        </w:rPr>
      </w:pPr>
      <w:r>
        <w:rPr>
          <w:rFonts w:hint="eastAsia"/>
          <w:sz w:val="21"/>
        </w:rPr>
        <w:t>期股价格</w:t>
      </w:r>
    </w:p>
    <w:p>
      <w:pPr>
        <w:pStyle w:val="7"/>
        <w:numPr>
          <w:ilvl w:val="0"/>
          <w:numId w:val="23"/>
        </w:numPr>
        <w:rPr>
          <w:rFonts w:hint="eastAsia"/>
          <w:sz w:val="21"/>
        </w:rPr>
      </w:pPr>
      <w:r>
        <w:rPr>
          <w:rFonts w:hint="eastAsia"/>
          <w:sz w:val="21"/>
        </w:rPr>
        <w:t>期股履约时间</w:t>
      </w:r>
    </w:p>
    <w:p>
      <w:pPr>
        <w:pStyle w:val="7"/>
        <w:numPr>
          <w:ilvl w:val="0"/>
          <w:numId w:val="23"/>
        </w:numPr>
        <w:rPr>
          <w:rFonts w:hint="eastAsia"/>
          <w:sz w:val="21"/>
          <w:szCs w:val="21"/>
        </w:rPr>
      </w:pPr>
      <w:r>
        <w:rPr>
          <w:rFonts w:hint="eastAsia"/>
          <w:sz w:val="21"/>
        </w:rPr>
        <w:t>履约条件</w:t>
      </w:r>
    </w:p>
    <w:p>
      <w:pPr>
        <w:pStyle w:val="6"/>
        <w:spacing w:line="300" w:lineRule="auto"/>
        <w:rPr>
          <w:rFonts w:hint="eastAsia"/>
          <w:sz w:val="21"/>
          <w:szCs w:val="21"/>
        </w:rPr>
      </w:pPr>
      <w:r>
        <w:rPr>
          <w:rFonts w:hint="eastAsia"/>
          <w:sz w:val="21"/>
          <w:szCs w:val="21"/>
        </w:rPr>
        <w:t>公司根据不同的期股计划确定期股的转让价格，其计算方式包括：</w:t>
      </w:r>
    </w:p>
    <w:p>
      <w:pPr>
        <w:pStyle w:val="7"/>
        <w:numPr>
          <w:ilvl w:val="0"/>
          <w:numId w:val="24"/>
        </w:numPr>
        <w:rPr>
          <w:rFonts w:hint="eastAsia"/>
          <w:sz w:val="21"/>
        </w:rPr>
      </w:pPr>
      <w:r>
        <w:rPr>
          <w:rFonts w:hint="eastAsia"/>
          <w:sz w:val="21"/>
        </w:rPr>
        <w:t>折价1：</w:t>
      </w:r>
      <w:r>
        <w:rPr>
          <w:rFonts w:hint="eastAsia"/>
          <w:sz w:val="21"/>
          <w:szCs w:val="21"/>
        </w:rPr>
        <w:t>期股</w:t>
      </w:r>
      <w:r>
        <w:rPr>
          <w:rFonts w:hint="eastAsia"/>
          <w:sz w:val="21"/>
        </w:rPr>
        <w:t>价格＝净现金 / 股本</w:t>
      </w:r>
    </w:p>
    <w:p>
      <w:pPr>
        <w:pStyle w:val="7"/>
        <w:numPr>
          <w:ilvl w:val="0"/>
          <w:numId w:val="5"/>
        </w:numPr>
        <w:rPr>
          <w:rFonts w:hint="eastAsia"/>
          <w:sz w:val="21"/>
        </w:rPr>
      </w:pPr>
      <w:r>
        <w:rPr>
          <w:rFonts w:hint="eastAsia"/>
          <w:sz w:val="21"/>
        </w:rPr>
        <w:t>折价2：</w:t>
      </w:r>
      <w:r>
        <w:rPr>
          <w:rFonts w:hint="eastAsia"/>
          <w:sz w:val="21"/>
          <w:szCs w:val="21"/>
        </w:rPr>
        <w:t>期股</w:t>
      </w:r>
      <w:r>
        <w:rPr>
          <w:rFonts w:hint="eastAsia"/>
          <w:sz w:val="21"/>
        </w:rPr>
        <w:t>价格＝ 有形净资产 / 股本</w:t>
      </w:r>
    </w:p>
    <w:p>
      <w:pPr>
        <w:pStyle w:val="7"/>
        <w:numPr>
          <w:ilvl w:val="0"/>
          <w:numId w:val="5"/>
        </w:numPr>
        <w:rPr>
          <w:rFonts w:hint="eastAsia"/>
          <w:sz w:val="21"/>
        </w:rPr>
      </w:pPr>
      <w:r>
        <w:rPr>
          <w:rFonts w:hint="eastAsia"/>
          <w:sz w:val="21"/>
        </w:rPr>
        <w:t>平价：期股价格＝净资产/股本</w:t>
      </w:r>
    </w:p>
    <w:p>
      <w:pPr>
        <w:pStyle w:val="6"/>
        <w:rPr>
          <w:rFonts w:hint="eastAsia"/>
          <w:sz w:val="21"/>
          <w:szCs w:val="21"/>
        </w:rPr>
      </w:pPr>
      <w:r>
        <w:rPr>
          <w:rFonts w:hint="eastAsia"/>
          <w:sz w:val="21"/>
          <w:szCs w:val="21"/>
        </w:rPr>
        <w:t>激励对象履行《期股履约协议》后，满足期股激励条件时，由激励对象和现有股东签订《期股认购协议》，其内容包括：</w:t>
      </w:r>
    </w:p>
    <w:p>
      <w:pPr>
        <w:pStyle w:val="7"/>
        <w:numPr>
          <w:ilvl w:val="0"/>
          <w:numId w:val="25"/>
        </w:numPr>
        <w:rPr>
          <w:rFonts w:hint="eastAsia"/>
          <w:sz w:val="21"/>
        </w:rPr>
      </w:pPr>
      <w:r>
        <w:rPr>
          <w:rFonts w:hint="eastAsia"/>
          <w:sz w:val="21"/>
        </w:rPr>
        <w:t>数量（根据激励对象在期股履约期的业绩表现确定认购限额，激励对象在限额内可以自主选择）</w:t>
      </w:r>
    </w:p>
    <w:p>
      <w:pPr>
        <w:pStyle w:val="7"/>
        <w:numPr>
          <w:ilvl w:val="0"/>
          <w:numId w:val="25"/>
        </w:numPr>
        <w:rPr>
          <w:rFonts w:hint="eastAsia"/>
          <w:sz w:val="21"/>
        </w:rPr>
      </w:pPr>
      <w:r>
        <w:rPr>
          <w:rFonts w:hint="eastAsia"/>
          <w:sz w:val="21"/>
        </w:rPr>
        <w:t>价格（按照期股履约协议中约定的价格）</w:t>
      </w:r>
    </w:p>
    <w:p>
      <w:pPr>
        <w:pStyle w:val="7"/>
        <w:numPr>
          <w:ilvl w:val="0"/>
          <w:numId w:val="25"/>
        </w:numPr>
        <w:rPr>
          <w:rFonts w:hint="eastAsia"/>
          <w:sz w:val="21"/>
        </w:rPr>
      </w:pPr>
      <w:r>
        <w:rPr>
          <w:rFonts w:hint="eastAsia"/>
          <w:sz w:val="21"/>
        </w:rPr>
        <w:t>支付方式</w:t>
      </w:r>
    </w:p>
    <w:p>
      <w:pPr>
        <w:pStyle w:val="6"/>
        <w:rPr>
          <w:rFonts w:hint="eastAsia"/>
          <w:sz w:val="21"/>
          <w:szCs w:val="21"/>
        </w:rPr>
      </w:pPr>
      <w:r>
        <w:rPr>
          <w:rFonts w:hint="eastAsia"/>
          <w:sz w:val="21"/>
          <w:szCs w:val="21"/>
        </w:rPr>
        <w:t>期股认购之后，认购部分的期股转化成为实股。</w:t>
      </w:r>
    </w:p>
    <w:p>
      <w:pPr>
        <w:pStyle w:val="6"/>
        <w:rPr>
          <w:rFonts w:hint="eastAsia"/>
          <w:sz w:val="21"/>
          <w:szCs w:val="21"/>
        </w:rPr>
      </w:pPr>
      <w:r>
        <w:rPr>
          <w:rFonts w:hint="eastAsia"/>
          <w:sz w:val="21"/>
          <w:szCs w:val="21"/>
        </w:rPr>
        <w:t>激励对象按照认购协议支付股金部分的</w:t>
      </w:r>
      <w:r>
        <w:rPr>
          <w:rFonts w:hint="eastAsia"/>
          <w:sz w:val="21"/>
        </w:rPr>
        <w:t>期股，</w:t>
      </w:r>
      <w:r>
        <w:rPr>
          <w:rFonts w:hint="eastAsia"/>
          <w:sz w:val="21"/>
          <w:szCs w:val="21"/>
        </w:rPr>
        <w:t>由新股东和现有股东签订内部股权转让协议。</w:t>
      </w:r>
    </w:p>
    <w:p>
      <w:pPr>
        <w:pStyle w:val="6"/>
        <w:rPr>
          <w:rFonts w:hint="eastAsia"/>
          <w:sz w:val="21"/>
          <w:szCs w:val="21"/>
        </w:rPr>
      </w:pPr>
      <w:r>
        <w:rPr>
          <w:rFonts w:hint="eastAsia"/>
          <w:sz w:val="21"/>
          <w:szCs w:val="21"/>
        </w:rPr>
        <w:t>期股可以转化成为普通股，其转化方式为：</w:t>
      </w:r>
    </w:p>
    <w:p>
      <w:pPr>
        <w:pStyle w:val="7"/>
        <w:numPr>
          <w:ilvl w:val="0"/>
          <w:numId w:val="26"/>
        </w:numPr>
        <w:rPr>
          <w:rFonts w:hint="eastAsia"/>
          <w:sz w:val="21"/>
        </w:rPr>
      </w:pPr>
      <w:r>
        <w:rPr>
          <w:rFonts w:hint="eastAsia"/>
          <w:sz w:val="21"/>
        </w:rPr>
        <w:t>在认购协议规定的时间内，交付股金部分的期股转化为普通股</w:t>
      </w:r>
    </w:p>
    <w:p>
      <w:pPr>
        <w:pStyle w:val="7"/>
        <w:numPr>
          <w:ilvl w:val="0"/>
          <w:numId w:val="26"/>
        </w:numPr>
        <w:rPr>
          <w:rFonts w:hint="eastAsia"/>
          <w:sz w:val="21"/>
        </w:rPr>
      </w:pPr>
      <w:r>
        <w:rPr>
          <w:rFonts w:hint="eastAsia"/>
          <w:sz w:val="21"/>
        </w:rPr>
        <w:t>没有交付股金部分视同自动放弃</w:t>
      </w:r>
    </w:p>
    <w:p>
      <w:pPr>
        <w:pStyle w:val="7"/>
        <w:numPr>
          <w:ilvl w:val="0"/>
          <w:numId w:val="26"/>
        </w:numPr>
        <w:rPr>
          <w:rFonts w:hint="eastAsia"/>
          <w:sz w:val="21"/>
        </w:rPr>
      </w:pPr>
      <w:r>
        <w:rPr>
          <w:rFonts w:hint="eastAsia"/>
          <w:sz w:val="21"/>
        </w:rPr>
        <w:t>已经转化部分办理股权变更法律手续</w:t>
      </w:r>
    </w:p>
    <w:p>
      <w:pPr>
        <w:pStyle w:val="6"/>
        <w:spacing w:line="300" w:lineRule="auto"/>
        <w:rPr>
          <w:rFonts w:hint="eastAsia"/>
          <w:sz w:val="21"/>
          <w:szCs w:val="21"/>
        </w:rPr>
      </w:pPr>
      <w:r>
        <w:rPr>
          <w:rFonts w:hint="eastAsia"/>
          <w:sz w:val="21"/>
          <w:szCs w:val="21"/>
        </w:rPr>
        <w:t>转化之后的期股退出机制同普通股。</w:t>
      </w:r>
    </w:p>
    <w:p>
      <w:pPr>
        <w:pStyle w:val="6"/>
        <w:spacing w:line="300" w:lineRule="auto"/>
        <w:rPr>
          <w:rFonts w:hint="eastAsia"/>
          <w:sz w:val="21"/>
        </w:rPr>
      </w:pPr>
      <w:r>
        <w:rPr>
          <w:rFonts w:hint="eastAsia"/>
          <w:sz w:val="21"/>
          <w:szCs w:val="21"/>
        </w:rPr>
        <w:t>转化之前的期股的退出方式为：</w:t>
      </w:r>
    </w:p>
    <w:p>
      <w:pPr>
        <w:pStyle w:val="7"/>
        <w:numPr>
          <w:ilvl w:val="0"/>
          <w:numId w:val="27"/>
        </w:numPr>
        <w:rPr>
          <w:rFonts w:hint="eastAsia"/>
          <w:sz w:val="21"/>
        </w:rPr>
      </w:pPr>
      <w:r>
        <w:rPr>
          <w:rFonts w:hint="eastAsia"/>
          <w:sz w:val="21"/>
        </w:rPr>
        <w:t>已经支付股金的</w:t>
      </w:r>
      <w:r>
        <w:rPr>
          <w:rFonts w:hint="eastAsia"/>
          <w:sz w:val="21"/>
          <w:szCs w:val="21"/>
        </w:rPr>
        <w:t>期股</w:t>
      </w:r>
      <w:r>
        <w:rPr>
          <w:rFonts w:hint="eastAsia"/>
          <w:sz w:val="21"/>
        </w:rPr>
        <w:t>以认购价格出让给原有股东。</w:t>
      </w:r>
    </w:p>
    <w:p>
      <w:pPr>
        <w:pStyle w:val="7"/>
        <w:numPr>
          <w:ilvl w:val="0"/>
          <w:numId w:val="27"/>
        </w:numPr>
        <w:rPr>
          <w:rFonts w:hint="eastAsia"/>
          <w:sz w:val="21"/>
          <w:szCs w:val="21"/>
        </w:rPr>
      </w:pPr>
      <w:r>
        <w:rPr>
          <w:rFonts w:hint="eastAsia"/>
          <w:sz w:val="21"/>
        </w:rPr>
        <w:t>未支付股金的</w:t>
      </w:r>
      <w:r>
        <w:rPr>
          <w:rFonts w:hint="eastAsia"/>
          <w:sz w:val="21"/>
          <w:szCs w:val="21"/>
        </w:rPr>
        <w:t>期股</w:t>
      </w:r>
      <w:r>
        <w:rPr>
          <w:rFonts w:hint="eastAsia"/>
          <w:sz w:val="21"/>
        </w:rPr>
        <w:t>自动失效。</w:t>
      </w:r>
    </w:p>
    <w:p>
      <w:pPr>
        <w:pStyle w:val="4"/>
        <w:spacing w:line="360" w:lineRule="auto"/>
        <w:rPr>
          <w:rFonts w:hint="eastAsia"/>
          <w:sz w:val="28"/>
          <w:szCs w:val="28"/>
        </w:rPr>
      </w:pPr>
      <w:bookmarkStart w:id="13" w:name="_Toc36864099"/>
      <w:bookmarkStart w:id="14" w:name="_Toc60141879"/>
      <w:r>
        <w:rPr>
          <w:rFonts w:hint="eastAsia"/>
          <w:sz w:val="28"/>
          <w:szCs w:val="28"/>
        </w:rPr>
        <w:t>业绩股票</w:t>
      </w:r>
      <w:bookmarkEnd w:id="13"/>
      <w:bookmarkEnd w:id="14"/>
    </w:p>
    <w:p>
      <w:pPr>
        <w:pStyle w:val="6"/>
        <w:rPr>
          <w:rFonts w:hint="eastAsia"/>
          <w:sz w:val="21"/>
        </w:rPr>
      </w:pPr>
      <w:r>
        <w:rPr>
          <w:rFonts w:hint="eastAsia"/>
          <w:sz w:val="21"/>
        </w:rPr>
        <w:t>为充分体现和鼓励核心人员为公司价值提升作出贡献，公司实施业绩股票制度。</w:t>
      </w:r>
    </w:p>
    <w:p>
      <w:pPr>
        <w:pStyle w:val="6"/>
        <w:rPr>
          <w:rFonts w:hint="eastAsia"/>
          <w:sz w:val="21"/>
        </w:rPr>
      </w:pPr>
      <w:r>
        <w:rPr>
          <w:rFonts w:hint="eastAsia"/>
          <w:sz w:val="21"/>
        </w:rPr>
        <w:t>业绩股票的受益对象是认同公司价值观，并且具有突出专长技能的核心人员，范围包括：</w:t>
      </w:r>
    </w:p>
    <w:p>
      <w:pPr>
        <w:pStyle w:val="7"/>
        <w:numPr>
          <w:ilvl w:val="0"/>
          <w:numId w:val="28"/>
        </w:numPr>
        <w:rPr>
          <w:rFonts w:hint="eastAsia"/>
          <w:sz w:val="21"/>
        </w:rPr>
      </w:pPr>
      <w:r>
        <w:rPr>
          <w:rFonts w:hint="eastAsia"/>
          <w:sz w:val="21"/>
        </w:rPr>
        <w:t>高层管理人员</w:t>
      </w:r>
    </w:p>
    <w:p>
      <w:pPr>
        <w:pStyle w:val="7"/>
        <w:numPr>
          <w:ilvl w:val="0"/>
          <w:numId w:val="28"/>
        </w:numPr>
        <w:rPr>
          <w:rFonts w:hint="eastAsia"/>
          <w:sz w:val="21"/>
        </w:rPr>
      </w:pPr>
      <w:r>
        <w:rPr>
          <w:rFonts w:hint="eastAsia"/>
          <w:sz w:val="21"/>
        </w:rPr>
        <w:t>中层管理人员</w:t>
      </w:r>
    </w:p>
    <w:p>
      <w:pPr>
        <w:pStyle w:val="7"/>
        <w:numPr>
          <w:ilvl w:val="0"/>
          <w:numId w:val="28"/>
        </w:numPr>
        <w:rPr>
          <w:rFonts w:hint="eastAsia"/>
          <w:sz w:val="21"/>
        </w:rPr>
      </w:pPr>
      <w:r>
        <w:rPr>
          <w:rFonts w:hint="eastAsia"/>
          <w:sz w:val="21"/>
        </w:rPr>
        <w:t>核心业务骨干（技术人员、营销人员）</w:t>
      </w:r>
    </w:p>
    <w:p>
      <w:pPr>
        <w:pStyle w:val="6"/>
        <w:rPr>
          <w:rFonts w:hint="eastAsia"/>
          <w:sz w:val="21"/>
        </w:rPr>
      </w:pPr>
      <w:r>
        <w:rPr>
          <w:rFonts w:hint="eastAsia"/>
          <w:sz w:val="21"/>
        </w:rPr>
        <w:t>业绩股票激励对象的资格认定程序：</w:t>
      </w:r>
    </w:p>
    <w:p>
      <w:pPr>
        <w:pStyle w:val="7"/>
        <w:numPr>
          <w:ilvl w:val="0"/>
          <w:numId w:val="29"/>
        </w:numPr>
        <w:rPr>
          <w:rFonts w:hint="eastAsia" w:ascii="Arial" w:hAnsi="Arial"/>
          <w:sz w:val="21"/>
        </w:rPr>
      </w:pPr>
      <w:r>
        <w:rPr>
          <w:rFonts w:hint="eastAsia"/>
          <w:sz w:val="21"/>
        </w:rPr>
        <w:t>总经理提名</w:t>
      </w:r>
    </w:p>
    <w:p>
      <w:pPr>
        <w:pStyle w:val="7"/>
        <w:numPr>
          <w:ilvl w:val="0"/>
          <w:numId w:val="29"/>
        </w:numPr>
        <w:rPr>
          <w:rFonts w:hint="eastAsia" w:ascii="Arial" w:hAnsi="Arial"/>
          <w:sz w:val="21"/>
        </w:rPr>
      </w:pPr>
      <w:r>
        <w:rPr>
          <w:rFonts w:hint="eastAsia"/>
          <w:sz w:val="21"/>
        </w:rPr>
        <w:t>董事会审议</w:t>
      </w:r>
    </w:p>
    <w:p>
      <w:pPr>
        <w:pStyle w:val="7"/>
        <w:numPr>
          <w:ilvl w:val="0"/>
          <w:numId w:val="29"/>
        </w:numPr>
        <w:rPr>
          <w:rFonts w:hint="eastAsia" w:ascii="Arial" w:hAnsi="Arial"/>
          <w:sz w:val="21"/>
        </w:rPr>
      </w:pPr>
      <w:r>
        <w:rPr>
          <w:rFonts w:hint="eastAsia"/>
          <w:sz w:val="21"/>
        </w:rPr>
        <w:t>股东会审批</w:t>
      </w:r>
    </w:p>
    <w:p>
      <w:pPr>
        <w:pStyle w:val="6"/>
        <w:rPr>
          <w:rFonts w:hint="eastAsia"/>
          <w:sz w:val="21"/>
        </w:rPr>
      </w:pPr>
      <w:r>
        <w:rPr>
          <w:rFonts w:hint="eastAsia"/>
          <w:sz w:val="21"/>
        </w:rPr>
        <w:t>业绩股票的股票来源公司价值的提升。其计算公式为“业绩股票数量＝股本×（新增有形净资产/期末有形净资产）×业绩股票分配系数”。其中“新增有形净资产”的计算公式为“新增有形净资产＝期末有形净资产－期初有形净资产”，其中“有形净资产”的计算公式为“有形净资产＝净资产－无形资产净值”。</w:t>
      </w:r>
    </w:p>
    <w:p>
      <w:pPr>
        <w:pStyle w:val="6"/>
        <w:rPr>
          <w:rFonts w:hint="eastAsia"/>
          <w:sz w:val="21"/>
          <w:szCs w:val="21"/>
        </w:rPr>
      </w:pPr>
      <w:r>
        <w:rPr>
          <w:rFonts w:hint="eastAsia"/>
          <w:sz w:val="21"/>
          <w:szCs w:val="21"/>
        </w:rPr>
        <w:t>业绩股票分配系数的确定原则包括：</w:t>
      </w:r>
    </w:p>
    <w:p>
      <w:pPr>
        <w:pStyle w:val="7"/>
        <w:numPr>
          <w:ilvl w:val="0"/>
          <w:numId w:val="30"/>
        </w:numPr>
        <w:rPr>
          <w:rFonts w:hint="eastAsia"/>
          <w:sz w:val="21"/>
          <w:szCs w:val="21"/>
        </w:rPr>
      </w:pPr>
      <w:r>
        <w:rPr>
          <w:rFonts w:hint="eastAsia"/>
          <w:sz w:val="21"/>
          <w:szCs w:val="21"/>
        </w:rPr>
        <w:t>价值匹配原则：业绩股票分配系数与人力资本价值贡献相匹配</w:t>
      </w:r>
    </w:p>
    <w:p>
      <w:pPr>
        <w:pStyle w:val="7"/>
        <w:numPr>
          <w:ilvl w:val="0"/>
          <w:numId w:val="5"/>
        </w:numPr>
        <w:rPr>
          <w:rFonts w:hint="eastAsia"/>
          <w:sz w:val="21"/>
        </w:rPr>
      </w:pPr>
      <w:r>
        <w:rPr>
          <w:rFonts w:hint="eastAsia"/>
          <w:sz w:val="21"/>
        </w:rPr>
        <w:t>动态平衡原则：随着公司在不同发展阶段和经营环境不同而进行动态调整。</w:t>
      </w:r>
    </w:p>
    <w:p>
      <w:pPr>
        <w:pStyle w:val="6"/>
        <w:rPr>
          <w:rFonts w:hint="eastAsia"/>
          <w:sz w:val="21"/>
          <w:szCs w:val="21"/>
        </w:rPr>
      </w:pPr>
      <w:r>
        <w:rPr>
          <w:rFonts w:hint="eastAsia"/>
          <w:sz w:val="21"/>
          <w:szCs w:val="21"/>
        </w:rPr>
        <w:t>业绩股票分配系数确定程序为：</w:t>
      </w:r>
    </w:p>
    <w:p>
      <w:pPr>
        <w:pStyle w:val="7"/>
        <w:numPr>
          <w:ilvl w:val="0"/>
          <w:numId w:val="31"/>
        </w:numPr>
        <w:rPr>
          <w:rFonts w:hint="eastAsia"/>
          <w:sz w:val="21"/>
          <w:szCs w:val="21"/>
        </w:rPr>
      </w:pPr>
      <w:r>
        <w:rPr>
          <w:rFonts w:hint="eastAsia"/>
          <w:sz w:val="21"/>
          <w:szCs w:val="21"/>
        </w:rPr>
        <w:t>业绩股票分配系数由董事会提出</w:t>
      </w:r>
    </w:p>
    <w:p>
      <w:pPr>
        <w:pStyle w:val="7"/>
        <w:numPr>
          <w:ilvl w:val="0"/>
          <w:numId w:val="5"/>
        </w:numPr>
        <w:rPr>
          <w:rFonts w:hint="eastAsia"/>
          <w:sz w:val="21"/>
        </w:rPr>
      </w:pPr>
      <w:r>
        <w:rPr>
          <w:rFonts w:hint="eastAsia"/>
          <w:sz w:val="21"/>
        </w:rPr>
        <w:t>由股东会审批</w:t>
      </w:r>
    </w:p>
    <w:p>
      <w:pPr>
        <w:pStyle w:val="6"/>
        <w:rPr>
          <w:rFonts w:hint="eastAsia"/>
          <w:sz w:val="21"/>
        </w:rPr>
      </w:pPr>
      <w:r>
        <w:rPr>
          <w:rFonts w:hint="eastAsia"/>
          <w:sz w:val="21"/>
        </w:rPr>
        <w:t>业绩股票分配依据是个人对公司价值提升的贡献。个人的业绩股票的计算方法为“某一经营骨干分享的业绩股票数量＝业绩股票总量×个人分配系数×个人绩效考核系数”，其中：</w:t>
      </w:r>
    </w:p>
    <w:p>
      <w:pPr>
        <w:pStyle w:val="7"/>
        <w:numPr>
          <w:ilvl w:val="0"/>
          <w:numId w:val="32"/>
        </w:numPr>
        <w:rPr>
          <w:rFonts w:hint="eastAsia"/>
          <w:sz w:val="21"/>
          <w:szCs w:val="21"/>
        </w:rPr>
      </w:pPr>
      <w:r>
        <w:rPr>
          <w:rFonts w:hint="eastAsia"/>
          <w:sz w:val="21"/>
          <w:szCs w:val="21"/>
        </w:rPr>
        <w:t>个人分配系数＝个人职位价值系数/∑（所有经营骨干职位价值系数）</w:t>
      </w:r>
    </w:p>
    <w:p>
      <w:pPr>
        <w:pStyle w:val="7"/>
        <w:rPr>
          <w:rFonts w:hint="eastAsia"/>
          <w:sz w:val="21"/>
          <w:szCs w:val="21"/>
        </w:rPr>
      </w:pPr>
      <w:r>
        <w:rPr>
          <w:rFonts w:hint="eastAsia"/>
          <w:sz w:val="21"/>
          <w:szCs w:val="21"/>
        </w:rPr>
        <w:t>个人绩效考核系数＝个人绩效考核得分/所有经营骨干绩效考核平均得分</w:t>
      </w:r>
    </w:p>
    <w:p>
      <w:pPr>
        <w:pStyle w:val="6"/>
        <w:rPr>
          <w:rFonts w:hint="eastAsia"/>
          <w:sz w:val="21"/>
        </w:rPr>
      </w:pPr>
      <w:r>
        <w:rPr>
          <w:rFonts w:hint="eastAsia"/>
          <w:sz w:val="21"/>
        </w:rPr>
        <w:t>业绩股票的行权方式为：</w:t>
      </w:r>
    </w:p>
    <w:p>
      <w:pPr>
        <w:pStyle w:val="7"/>
        <w:numPr>
          <w:ilvl w:val="0"/>
          <w:numId w:val="33"/>
        </w:numPr>
        <w:rPr>
          <w:rFonts w:hint="eastAsia"/>
          <w:sz w:val="21"/>
        </w:rPr>
      </w:pPr>
      <w:r>
        <w:rPr>
          <w:rFonts w:hint="eastAsia"/>
          <w:sz w:val="21"/>
        </w:rPr>
        <w:t>业绩股票实施一次性行权；</w:t>
      </w:r>
    </w:p>
    <w:p>
      <w:pPr>
        <w:pStyle w:val="7"/>
        <w:numPr>
          <w:ilvl w:val="0"/>
          <w:numId w:val="33"/>
        </w:numPr>
        <w:rPr>
          <w:rFonts w:hint="eastAsia"/>
          <w:sz w:val="21"/>
        </w:rPr>
      </w:pPr>
      <w:r>
        <w:rPr>
          <w:rFonts w:hint="eastAsia"/>
          <w:sz w:val="21"/>
        </w:rPr>
        <w:t>不需要支付现金；</w:t>
      </w:r>
    </w:p>
    <w:p>
      <w:pPr>
        <w:pStyle w:val="7"/>
        <w:numPr>
          <w:ilvl w:val="0"/>
          <w:numId w:val="33"/>
        </w:numPr>
        <w:rPr>
          <w:rFonts w:hint="eastAsia"/>
          <w:sz w:val="21"/>
        </w:rPr>
      </w:pPr>
      <w:r>
        <w:rPr>
          <w:rFonts w:hint="eastAsia"/>
          <w:sz w:val="21"/>
        </w:rPr>
        <w:t>股东和经营骨干之间根据行权之后股权结构签订《内部股权转让协议》（参看附录四）。</w:t>
      </w:r>
    </w:p>
    <w:p>
      <w:pPr>
        <w:pStyle w:val="6"/>
        <w:rPr>
          <w:rFonts w:hint="eastAsia"/>
          <w:sz w:val="21"/>
        </w:rPr>
      </w:pPr>
      <w:r>
        <w:rPr>
          <w:rFonts w:hint="eastAsia"/>
          <w:sz w:val="21"/>
        </w:rPr>
        <w:t>业绩股票的权利包括：</w:t>
      </w:r>
    </w:p>
    <w:p>
      <w:pPr>
        <w:pStyle w:val="7"/>
        <w:numPr>
          <w:ilvl w:val="0"/>
          <w:numId w:val="34"/>
        </w:numPr>
        <w:rPr>
          <w:rFonts w:hint="eastAsia"/>
          <w:sz w:val="21"/>
        </w:rPr>
      </w:pPr>
      <w:r>
        <w:rPr>
          <w:rFonts w:hint="eastAsia"/>
          <w:sz w:val="21"/>
        </w:rPr>
        <w:t>分红权；</w:t>
      </w:r>
    </w:p>
    <w:p>
      <w:pPr>
        <w:pStyle w:val="7"/>
        <w:numPr>
          <w:ilvl w:val="0"/>
          <w:numId w:val="34"/>
        </w:numPr>
        <w:rPr>
          <w:rFonts w:hint="eastAsia"/>
          <w:sz w:val="21"/>
        </w:rPr>
      </w:pPr>
      <w:r>
        <w:rPr>
          <w:rFonts w:hint="eastAsia"/>
          <w:sz w:val="21"/>
        </w:rPr>
        <w:t>表决权；</w:t>
      </w:r>
    </w:p>
    <w:p>
      <w:pPr>
        <w:pStyle w:val="7"/>
        <w:numPr>
          <w:ilvl w:val="0"/>
          <w:numId w:val="34"/>
        </w:numPr>
        <w:rPr>
          <w:rFonts w:hint="eastAsia"/>
          <w:sz w:val="21"/>
        </w:rPr>
      </w:pPr>
      <w:r>
        <w:rPr>
          <w:rFonts w:hint="eastAsia"/>
          <w:sz w:val="21"/>
        </w:rPr>
        <w:t>资产增值收益权；</w:t>
      </w:r>
    </w:p>
    <w:p>
      <w:pPr>
        <w:pStyle w:val="7"/>
        <w:numPr>
          <w:ilvl w:val="0"/>
          <w:numId w:val="34"/>
        </w:numPr>
        <w:rPr>
          <w:rFonts w:hint="eastAsia"/>
          <w:sz w:val="21"/>
        </w:rPr>
      </w:pPr>
      <w:r>
        <w:rPr>
          <w:rFonts w:hint="eastAsia"/>
          <w:sz w:val="21"/>
        </w:rPr>
        <w:t>没有出让权和出售权。</w:t>
      </w:r>
    </w:p>
    <w:p>
      <w:pPr>
        <w:pStyle w:val="6"/>
        <w:rPr>
          <w:rFonts w:hint="eastAsia"/>
          <w:sz w:val="21"/>
        </w:rPr>
      </w:pPr>
      <w:r>
        <w:rPr>
          <w:rFonts w:hint="eastAsia"/>
          <w:sz w:val="21"/>
        </w:rPr>
        <w:t>业绩股票的转化条件和方式：</w:t>
      </w:r>
    </w:p>
    <w:p>
      <w:pPr>
        <w:pStyle w:val="7"/>
        <w:numPr>
          <w:ilvl w:val="0"/>
          <w:numId w:val="35"/>
        </w:numPr>
        <w:rPr>
          <w:rFonts w:hint="eastAsia"/>
          <w:sz w:val="21"/>
        </w:rPr>
      </w:pPr>
      <w:r>
        <w:rPr>
          <w:rFonts w:hint="eastAsia"/>
          <w:sz w:val="21"/>
        </w:rPr>
        <w:t>业绩股票持有者在公司任职两年（含两年）以上，可以转化为普通股票</w:t>
      </w:r>
    </w:p>
    <w:p>
      <w:pPr>
        <w:pStyle w:val="7"/>
        <w:numPr>
          <w:ilvl w:val="0"/>
          <w:numId w:val="35"/>
        </w:numPr>
        <w:rPr>
          <w:rFonts w:hint="eastAsia"/>
        </w:rPr>
      </w:pPr>
      <w:r>
        <w:rPr>
          <w:rFonts w:hint="eastAsia"/>
          <w:sz w:val="21"/>
        </w:rPr>
        <w:t>转化方式为内部转让</w:t>
      </w:r>
    </w:p>
    <w:p>
      <w:pPr>
        <w:pStyle w:val="6"/>
        <w:rPr>
          <w:rFonts w:hint="eastAsia"/>
          <w:sz w:val="21"/>
        </w:rPr>
      </w:pPr>
      <w:r>
        <w:rPr>
          <w:rFonts w:hint="eastAsia"/>
          <w:sz w:val="21"/>
        </w:rPr>
        <w:t>业绩股票的转化程序包括：</w:t>
      </w:r>
    </w:p>
    <w:p>
      <w:pPr>
        <w:pStyle w:val="7"/>
        <w:numPr>
          <w:ilvl w:val="0"/>
          <w:numId w:val="36"/>
        </w:numPr>
        <w:rPr>
          <w:rFonts w:hint="eastAsia"/>
          <w:sz w:val="21"/>
        </w:rPr>
      </w:pPr>
      <w:r>
        <w:rPr>
          <w:rFonts w:hint="eastAsia"/>
          <w:sz w:val="21"/>
        </w:rPr>
        <w:t>业绩股票持有者提出申请，董事会审核，股东会审批</w:t>
      </w:r>
    </w:p>
    <w:p>
      <w:pPr>
        <w:pStyle w:val="7"/>
        <w:numPr>
          <w:ilvl w:val="0"/>
          <w:numId w:val="36"/>
        </w:numPr>
        <w:rPr>
          <w:rFonts w:hint="eastAsia"/>
          <w:sz w:val="21"/>
        </w:rPr>
      </w:pPr>
      <w:r>
        <w:rPr>
          <w:rFonts w:hint="eastAsia"/>
          <w:sz w:val="21"/>
        </w:rPr>
        <w:t>获得批准之后办理股权变更手续</w:t>
      </w:r>
    </w:p>
    <w:p>
      <w:pPr>
        <w:pStyle w:val="6"/>
        <w:rPr>
          <w:rFonts w:hint="eastAsia"/>
          <w:sz w:val="21"/>
        </w:rPr>
      </w:pPr>
      <w:r>
        <w:rPr>
          <w:rFonts w:hint="eastAsia"/>
          <w:sz w:val="21"/>
        </w:rPr>
        <w:t>已经转化成为普通股的业绩股票的退出等同于普通股绩股票退出机制。</w:t>
      </w:r>
    </w:p>
    <w:p>
      <w:pPr>
        <w:pStyle w:val="6"/>
        <w:rPr>
          <w:rFonts w:hint="eastAsia"/>
          <w:sz w:val="21"/>
        </w:rPr>
      </w:pPr>
      <w:r>
        <w:rPr>
          <w:rFonts w:hint="eastAsia"/>
          <w:sz w:val="21"/>
        </w:rPr>
        <w:t>没有转化成为普通股的业绩股票的退出方式为：</w:t>
      </w:r>
    </w:p>
    <w:p>
      <w:pPr>
        <w:pStyle w:val="7"/>
        <w:numPr>
          <w:ilvl w:val="0"/>
          <w:numId w:val="37"/>
        </w:numPr>
        <w:rPr>
          <w:rFonts w:hint="eastAsia"/>
          <w:sz w:val="21"/>
        </w:rPr>
      </w:pPr>
      <w:r>
        <w:rPr>
          <w:rFonts w:hint="eastAsia"/>
          <w:sz w:val="21"/>
        </w:rPr>
        <w:t>持有者离职时不得将业绩股票带走</w:t>
      </w:r>
    </w:p>
    <w:p>
      <w:pPr>
        <w:pStyle w:val="7"/>
        <w:numPr>
          <w:ilvl w:val="0"/>
          <w:numId w:val="37"/>
        </w:numPr>
        <w:rPr>
          <w:rFonts w:hint="eastAsia"/>
          <w:sz w:val="21"/>
        </w:rPr>
      </w:pPr>
      <w:r>
        <w:rPr>
          <w:rFonts w:hint="eastAsia"/>
          <w:sz w:val="21"/>
        </w:rPr>
        <w:t>由董事会提出退出方案，股东会审批</w:t>
      </w:r>
    </w:p>
    <w:p>
      <w:pPr>
        <w:pStyle w:val="6"/>
        <w:numPr>
          <w:ilvl w:val="0"/>
          <w:numId w:val="0"/>
        </w:numPr>
        <w:rPr>
          <w:rFonts w:hint="eastAsia"/>
          <w:sz w:val="21"/>
        </w:rPr>
      </w:pPr>
    </w:p>
    <w:p>
      <w:pPr>
        <w:pStyle w:val="4"/>
        <w:spacing w:line="360" w:lineRule="auto"/>
        <w:rPr>
          <w:rFonts w:hint="eastAsia"/>
          <w:sz w:val="28"/>
          <w:szCs w:val="28"/>
        </w:rPr>
      </w:pPr>
      <w:bookmarkStart w:id="15" w:name="_Toc60141880"/>
      <w:bookmarkStart w:id="16" w:name="_Toc36864102"/>
      <w:r>
        <w:rPr>
          <w:rFonts w:hint="eastAsia"/>
          <w:sz w:val="28"/>
          <w:szCs w:val="28"/>
        </w:rPr>
        <w:t>附则</w:t>
      </w:r>
      <w:bookmarkEnd w:id="15"/>
      <w:bookmarkEnd w:id="16"/>
    </w:p>
    <w:p>
      <w:pPr>
        <w:pStyle w:val="6"/>
        <w:rPr>
          <w:rFonts w:hint="eastAsia"/>
          <w:sz w:val="21"/>
          <w:szCs w:val="21"/>
        </w:rPr>
      </w:pPr>
      <w:r>
        <w:rPr>
          <w:rFonts w:hint="eastAsia"/>
          <w:sz w:val="21"/>
          <w:szCs w:val="21"/>
        </w:rPr>
        <w:t>本手册由鼎视通公司总经理委托综合行政部起草和修订，经由董事会审议股东会审批后发布。</w:t>
      </w:r>
    </w:p>
    <w:p>
      <w:pPr>
        <w:pStyle w:val="6"/>
        <w:rPr>
          <w:rFonts w:hint="eastAsia"/>
          <w:sz w:val="21"/>
          <w:szCs w:val="21"/>
        </w:rPr>
      </w:pPr>
      <w:r>
        <w:rPr>
          <w:rFonts w:hint="eastAsia"/>
          <w:sz w:val="21"/>
          <w:szCs w:val="21"/>
        </w:rPr>
        <w:t>本手册自发布之日起施行。</w:t>
      </w:r>
    </w:p>
    <w:p>
      <w:pPr>
        <w:pStyle w:val="6"/>
        <w:rPr>
          <w:rFonts w:hint="eastAsia"/>
          <w:sz w:val="21"/>
          <w:szCs w:val="21"/>
        </w:rPr>
      </w:pPr>
      <w:r>
        <w:rPr>
          <w:rFonts w:hint="eastAsia"/>
          <w:sz w:val="21"/>
          <w:szCs w:val="21"/>
        </w:rPr>
        <w:t>本手册由鼎视通公司综合行政部负责解释。</w:t>
      </w:r>
    </w:p>
    <w:p>
      <w:pPr>
        <w:pStyle w:val="4"/>
        <w:numPr>
          <w:ilvl w:val="0"/>
          <w:numId w:val="0"/>
        </w:numPr>
        <w:spacing w:line="360" w:lineRule="auto"/>
        <w:ind w:left="360"/>
        <w:rPr>
          <w:rFonts w:hint="eastAsia"/>
        </w:rPr>
      </w:pPr>
      <w:r>
        <w:rPr>
          <w:rFonts w:ascii="Times New Roman" w:hAnsi="Times New Roman"/>
          <w:b w:val="0"/>
          <w:bCs w:val="0"/>
          <w:sz w:val="21"/>
          <w:szCs w:val="24"/>
        </w:rPr>
        <w:br w:type="page"/>
      </w:r>
      <w:bookmarkStart w:id="17" w:name="_Toc60141881"/>
      <w:r>
        <w:rPr>
          <w:rFonts w:hint="eastAsia"/>
        </w:rPr>
        <w:t>附录一：鼎视通薪酬等级序列表</w:t>
      </w:r>
      <w:bookmarkEnd w:id="17"/>
    </w:p>
    <w:p>
      <w:pPr>
        <w:pStyle w:val="3"/>
        <w:numPr>
          <w:ilvl w:val="0"/>
          <w:numId w:val="0"/>
        </w:numPr>
        <w:ind w:left="1276" w:firstLine="425"/>
        <w:rPr>
          <w:rFonts w:hint="eastAsia"/>
        </w:rPr>
      </w:pPr>
      <w:r>
        <w:rPr>
          <w:sz w:val="32"/>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165100</wp:posOffset>
            </wp:positionV>
            <wp:extent cx="6057900" cy="4084320"/>
            <wp:effectExtent l="0" t="0" r="0" b="0"/>
            <wp:wrapTopAndBottom/>
            <wp:docPr id="3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057900" cy="4084320"/>
                    </a:xfrm>
                    <a:prstGeom prst="rect">
                      <a:avLst/>
                    </a:prstGeom>
                    <a:noFill/>
                    <a:ln>
                      <a:noFill/>
                    </a:ln>
                  </pic:spPr>
                </pic:pic>
              </a:graphicData>
            </a:graphic>
          </wp:anchor>
        </w:drawing>
      </w:r>
    </w:p>
    <w:p>
      <w:pPr>
        <w:pStyle w:val="3"/>
        <w:numPr>
          <w:ilvl w:val="0"/>
          <w:numId w:val="0"/>
        </w:numPr>
        <w:ind w:left="1276" w:firstLine="425"/>
        <w:rPr>
          <w:rFonts w:hint="eastAsia"/>
        </w:rPr>
      </w:pPr>
    </w:p>
    <w:p>
      <w:pPr>
        <w:pStyle w:val="4"/>
        <w:numPr>
          <w:ilvl w:val="0"/>
          <w:numId w:val="0"/>
        </w:numPr>
        <w:spacing w:line="360" w:lineRule="auto"/>
        <w:ind w:left="360"/>
        <w:rPr>
          <w:rFonts w:hint="eastAsia"/>
        </w:rPr>
      </w:pPr>
      <w:r>
        <w:rPr>
          <w:rFonts w:ascii="Times New Roman" w:hAnsi="Times New Roman"/>
          <w:b w:val="0"/>
          <w:bCs w:val="0"/>
          <w:sz w:val="21"/>
          <w:szCs w:val="24"/>
        </w:rPr>
        <w:br w:type="page"/>
      </w:r>
      <w:bookmarkStart w:id="18" w:name="_Toc60141882"/>
      <w:r>
        <w:rPr>
          <w:rFonts w:hint="eastAsia"/>
        </w:rPr>
        <w:t>附录二：股权认购协议</w:t>
      </w:r>
      <w:bookmarkEnd w:id="18"/>
    </w:p>
    <w:p>
      <w:pPr>
        <w:spacing w:line="360" w:lineRule="auto"/>
        <w:ind w:firstLine="210" w:firstLineChars="100"/>
        <w:rPr>
          <w:rFonts w:hint="eastAsia"/>
          <w:szCs w:val="21"/>
        </w:rPr>
      </w:pPr>
      <w:r>
        <w:rPr>
          <w:rFonts w:hint="eastAsia"/>
          <w:szCs w:val="21"/>
        </w:rPr>
        <w:t xml:space="preserve">甲方（出让方）： </w:t>
      </w:r>
    </w:p>
    <w:p>
      <w:pPr>
        <w:spacing w:line="360" w:lineRule="auto"/>
        <w:ind w:firstLine="210" w:firstLineChars="100"/>
        <w:rPr>
          <w:rFonts w:hint="eastAsia"/>
          <w:szCs w:val="21"/>
        </w:rPr>
      </w:pPr>
      <w:r>
        <w:rPr>
          <w:rFonts w:hint="eastAsia"/>
          <w:szCs w:val="21"/>
        </w:rPr>
        <w:t xml:space="preserve">乙方（认购方）： </w:t>
      </w:r>
    </w:p>
    <w:p>
      <w:pPr>
        <w:spacing w:line="360" w:lineRule="auto"/>
        <w:ind w:left="227" w:firstLine="420"/>
        <w:rPr>
          <w:rFonts w:hint="eastAsia"/>
          <w:szCs w:val="21"/>
        </w:rPr>
      </w:pPr>
      <w:r>
        <w:rPr>
          <w:rFonts w:hint="eastAsia"/>
          <w:szCs w:val="21"/>
        </w:rPr>
        <w:t>双方经过友好协商，就鼎视通软件技术有限公司股权认购，达成协议如下：</w:t>
      </w:r>
    </w:p>
    <w:p>
      <w:pPr>
        <w:numPr>
          <w:ilvl w:val="0"/>
          <w:numId w:val="38"/>
        </w:numPr>
        <w:spacing w:line="360" w:lineRule="auto"/>
        <w:rPr>
          <w:rFonts w:hint="eastAsia" w:ascii="宋体" w:hAnsi="宋体"/>
          <w:szCs w:val="21"/>
        </w:rPr>
      </w:pPr>
      <w:r>
        <w:rPr>
          <w:rFonts w:hint="eastAsia" w:ascii="宋体" w:hAnsi="宋体"/>
          <w:szCs w:val="21"/>
        </w:rPr>
        <w:t>认购</w:t>
      </w:r>
      <w:r>
        <w:rPr>
          <w:rFonts w:ascii="宋体" w:hAnsi="宋体"/>
          <w:szCs w:val="21"/>
        </w:rPr>
        <w:t>标的及价款</w:t>
      </w:r>
    </w:p>
    <w:p>
      <w:pPr>
        <w:numPr>
          <w:ilvl w:val="1"/>
          <w:numId w:val="39"/>
        </w:numPr>
        <w:spacing w:line="360" w:lineRule="auto"/>
        <w:rPr>
          <w:rFonts w:hint="eastAsia" w:ascii="宋体" w:hAnsi="宋体"/>
          <w:szCs w:val="21"/>
        </w:rPr>
      </w:pPr>
      <w:r>
        <w:rPr>
          <w:rFonts w:hint="eastAsia"/>
          <w:color w:val="000000"/>
          <w:szCs w:val="21"/>
        </w:rPr>
        <w:t>甲方同意乙方认购甲方</w:t>
      </w:r>
      <w:r>
        <w:rPr>
          <w:color w:val="000000"/>
          <w:szCs w:val="21"/>
        </w:rPr>
        <w:t>持有的</w:t>
      </w:r>
      <w:r>
        <w:rPr>
          <w:rFonts w:hint="eastAsia"/>
          <w:color w:val="000000"/>
          <w:szCs w:val="21"/>
        </w:rPr>
        <w:t>北京</w:t>
      </w:r>
      <w:r>
        <w:rPr>
          <w:rFonts w:hint="eastAsia"/>
          <w:szCs w:val="21"/>
        </w:rPr>
        <w:t>鼎视通软件技术有限公司</w:t>
      </w:r>
      <w:r>
        <w:rPr>
          <w:rFonts w:hint="eastAsia"/>
          <w:color w:val="000000"/>
          <w:szCs w:val="21"/>
        </w:rPr>
        <w:t>_____%</w:t>
      </w:r>
      <w:r>
        <w:rPr>
          <w:color w:val="000000"/>
          <w:szCs w:val="21"/>
        </w:rPr>
        <w:t>的股权</w:t>
      </w:r>
      <w:r>
        <w:rPr>
          <w:rFonts w:hint="eastAsia"/>
          <w:color w:val="000000"/>
          <w:szCs w:val="21"/>
        </w:rPr>
        <w:t>。</w:t>
      </w:r>
    </w:p>
    <w:p>
      <w:pPr>
        <w:numPr>
          <w:ilvl w:val="1"/>
          <w:numId w:val="39"/>
        </w:numPr>
        <w:spacing w:line="360" w:lineRule="auto"/>
        <w:rPr>
          <w:rFonts w:hint="eastAsia" w:ascii="宋体" w:hAnsi="宋体"/>
          <w:szCs w:val="21"/>
        </w:rPr>
      </w:pPr>
      <w:r>
        <w:rPr>
          <w:rFonts w:hint="eastAsia"/>
          <w:color w:val="000000"/>
          <w:szCs w:val="21"/>
        </w:rPr>
        <w:t>乙方</w:t>
      </w:r>
      <w:r>
        <w:rPr>
          <w:color w:val="000000"/>
          <w:szCs w:val="21"/>
        </w:rPr>
        <w:t>同意</w:t>
      </w:r>
      <w:r>
        <w:rPr>
          <w:rFonts w:hint="eastAsia"/>
          <w:color w:val="000000"/>
          <w:szCs w:val="21"/>
        </w:rPr>
        <w:t>认购</w:t>
      </w:r>
      <w:r>
        <w:rPr>
          <w:color w:val="000000"/>
          <w:szCs w:val="21"/>
        </w:rPr>
        <w:t>上述股权</w:t>
      </w:r>
      <w:r>
        <w:rPr>
          <w:rFonts w:hint="eastAsia"/>
          <w:color w:val="000000"/>
          <w:szCs w:val="21"/>
        </w:rPr>
        <w:t>。</w:t>
      </w:r>
    </w:p>
    <w:p>
      <w:pPr>
        <w:numPr>
          <w:ilvl w:val="1"/>
          <w:numId w:val="39"/>
        </w:numPr>
        <w:spacing w:line="360" w:lineRule="auto"/>
        <w:rPr>
          <w:rFonts w:hint="eastAsia" w:ascii="宋体" w:hAnsi="宋体"/>
          <w:szCs w:val="21"/>
        </w:rPr>
      </w:pPr>
      <w:r>
        <w:rPr>
          <w:color w:val="000000"/>
          <w:szCs w:val="21"/>
        </w:rPr>
        <w:t>双方确定的</w:t>
      </w:r>
      <w:r>
        <w:rPr>
          <w:rFonts w:hint="eastAsia"/>
          <w:color w:val="000000"/>
          <w:szCs w:val="21"/>
        </w:rPr>
        <w:t>认购</w:t>
      </w:r>
      <w:r>
        <w:rPr>
          <w:color w:val="000000"/>
          <w:szCs w:val="21"/>
        </w:rPr>
        <w:t>价格为</w:t>
      </w:r>
      <w:r>
        <w:rPr>
          <w:rFonts w:hint="eastAsia"/>
          <w:color w:val="000000"/>
          <w:szCs w:val="21"/>
        </w:rPr>
        <w:t>____________。</w:t>
      </w:r>
    </w:p>
    <w:p>
      <w:pPr>
        <w:numPr>
          <w:ilvl w:val="1"/>
          <w:numId w:val="39"/>
        </w:numPr>
        <w:spacing w:line="360" w:lineRule="auto"/>
        <w:rPr>
          <w:rFonts w:hint="eastAsia"/>
          <w:color w:val="000000"/>
          <w:szCs w:val="21"/>
        </w:rPr>
      </w:pPr>
      <w:r>
        <w:rPr>
          <w:rFonts w:hint="eastAsia"/>
          <w:color w:val="000000"/>
          <w:szCs w:val="21"/>
        </w:rPr>
        <w:t>甲方</w:t>
      </w:r>
      <w:r>
        <w:rPr>
          <w:color w:val="000000"/>
          <w:szCs w:val="21"/>
        </w:rPr>
        <w:t>保证对其向</w:t>
      </w:r>
      <w:r>
        <w:rPr>
          <w:rFonts w:hint="eastAsia"/>
          <w:color w:val="000000"/>
          <w:szCs w:val="21"/>
        </w:rPr>
        <w:t>乙方认购</w:t>
      </w:r>
      <w:r>
        <w:rPr>
          <w:color w:val="000000"/>
          <w:szCs w:val="21"/>
        </w:rPr>
        <w:t>的股权享有完全的独立权益，没有设置任何质押，未涉及任何争议及诉讼</w:t>
      </w:r>
      <w:r>
        <w:rPr>
          <w:rFonts w:hint="eastAsia"/>
          <w:color w:val="000000"/>
          <w:szCs w:val="21"/>
        </w:rPr>
        <w:t>。</w:t>
      </w:r>
    </w:p>
    <w:p>
      <w:pPr>
        <w:numPr>
          <w:ilvl w:val="0"/>
          <w:numId w:val="38"/>
        </w:numPr>
        <w:spacing w:line="360" w:lineRule="auto"/>
        <w:rPr>
          <w:rFonts w:hint="eastAsia" w:ascii="宋体" w:hAnsi="宋体"/>
          <w:szCs w:val="21"/>
        </w:rPr>
      </w:pPr>
      <w:r>
        <w:rPr>
          <w:rFonts w:hint="eastAsia"/>
          <w:color w:val="000000"/>
          <w:szCs w:val="21"/>
        </w:rPr>
        <w:t>本次认购约定为</w:t>
      </w:r>
      <w:r>
        <w:rPr>
          <w:rFonts w:hint="eastAsia"/>
          <w:color w:val="000000"/>
          <w:szCs w:val="21"/>
          <w:u w:val="single"/>
        </w:rPr>
        <w:t xml:space="preserve">                     </w:t>
      </w:r>
      <w:r>
        <w:rPr>
          <w:rFonts w:hint="eastAsia"/>
          <w:color w:val="000000"/>
          <w:szCs w:val="21"/>
        </w:rPr>
        <w:t>方式支付认购价款。</w:t>
      </w:r>
    </w:p>
    <w:p>
      <w:pPr>
        <w:numPr>
          <w:ilvl w:val="1"/>
          <w:numId w:val="40"/>
        </w:numPr>
        <w:spacing w:line="360" w:lineRule="auto"/>
        <w:rPr>
          <w:rFonts w:hint="eastAsia" w:ascii="宋体" w:hAnsi="宋体"/>
          <w:szCs w:val="21"/>
        </w:rPr>
      </w:pPr>
      <w:r>
        <w:rPr>
          <w:rFonts w:hint="eastAsia"/>
          <w:color w:val="000000"/>
          <w:szCs w:val="21"/>
        </w:rPr>
        <w:t>一次性支付</w:t>
      </w:r>
    </w:p>
    <w:p>
      <w:pPr>
        <w:spacing w:line="360" w:lineRule="auto"/>
        <w:ind w:left="420" w:firstLine="420"/>
        <w:rPr>
          <w:rFonts w:hint="eastAsia" w:ascii="宋体" w:hAnsi="宋体"/>
          <w:szCs w:val="21"/>
        </w:rPr>
      </w:pPr>
      <w:r>
        <w:rPr>
          <w:rFonts w:hint="eastAsia"/>
          <w:color w:val="000000"/>
          <w:szCs w:val="21"/>
        </w:rPr>
        <w:t>乙方应在______年____月____日前</w:t>
      </w:r>
      <w:r>
        <w:rPr>
          <w:rFonts w:hint="eastAsia" w:ascii="宋体" w:hAnsi="宋体"/>
          <w:szCs w:val="21"/>
        </w:rPr>
        <w:t>支付100％</w:t>
      </w:r>
      <w:r>
        <w:rPr>
          <w:color w:val="000000"/>
          <w:szCs w:val="21"/>
        </w:rPr>
        <w:t>股权</w:t>
      </w:r>
      <w:r>
        <w:rPr>
          <w:rFonts w:hint="eastAsia" w:ascii="宋体" w:hAnsi="宋体"/>
          <w:szCs w:val="21"/>
        </w:rPr>
        <w:t>认购</w:t>
      </w:r>
      <w:r>
        <w:rPr>
          <w:color w:val="000000"/>
          <w:szCs w:val="21"/>
        </w:rPr>
        <w:t>价款</w:t>
      </w:r>
      <w:r>
        <w:rPr>
          <w:rFonts w:hint="eastAsia"/>
          <w:color w:val="000000"/>
          <w:szCs w:val="21"/>
        </w:rPr>
        <w:t>。</w:t>
      </w:r>
    </w:p>
    <w:p>
      <w:pPr>
        <w:numPr>
          <w:ilvl w:val="1"/>
          <w:numId w:val="40"/>
        </w:numPr>
        <w:spacing w:line="360" w:lineRule="auto"/>
        <w:rPr>
          <w:rFonts w:hint="eastAsia" w:ascii="宋体" w:hAnsi="宋体"/>
          <w:szCs w:val="21"/>
        </w:rPr>
      </w:pPr>
      <w:r>
        <w:rPr>
          <w:rFonts w:hint="eastAsia"/>
          <w:color w:val="000000"/>
          <w:szCs w:val="21"/>
        </w:rPr>
        <w:t>分期支付</w:t>
      </w:r>
    </w:p>
    <w:p>
      <w:pPr>
        <w:spacing w:line="360" w:lineRule="auto"/>
        <w:ind w:left="317" w:firstLine="420"/>
        <w:rPr>
          <w:rFonts w:hint="eastAsia" w:ascii="宋体" w:hAnsi="宋体"/>
          <w:szCs w:val="21"/>
        </w:rPr>
      </w:pPr>
      <w:r>
        <w:rPr>
          <w:rFonts w:hint="eastAsia" w:ascii="宋体" w:hAnsi="宋体"/>
          <w:szCs w:val="21"/>
        </w:rPr>
        <w:t>第一次，</w:t>
      </w:r>
      <w:r>
        <w:rPr>
          <w:rFonts w:hint="eastAsia"/>
          <w:color w:val="000000"/>
          <w:szCs w:val="21"/>
        </w:rPr>
        <w:t>乙方应在______年____月____日前</w:t>
      </w:r>
      <w:r>
        <w:rPr>
          <w:rFonts w:hint="eastAsia" w:ascii="宋体" w:hAnsi="宋体"/>
          <w:szCs w:val="21"/>
        </w:rPr>
        <w:t>支付50％</w:t>
      </w:r>
      <w:r>
        <w:rPr>
          <w:color w:val="000000"/>
          <w:szCs w:val="21"/>
        </w:rPr>
        <w:t>股权</w:t>
      </w:r>
      <w:r>
        <w:rPr>
          <w:rFonts w:hint="eastAsia" w:ascii="宋体" w:hAnsi="宋体"/>
          <w:szCs w:val="21"/>
        </w:rPr>
        <w:t>认购</w:t>
      </w:r>
      <w:r>
        <w:rPr>
          <w:color w:val="000000"/>
          <w:szCs w:val="21"/>
        </w:rPr>
        <w:t>价款</w:t>
      </w:r>
      <w:r>
        <w:rPr>
          <w:rFonts w:hint="eastAsia"/>
          <w:color w:val="000000"/>
          <w:szCs w:val="21"/>
        </w:rPr>
        <w:t>，</w:t>
      </w:r>
    </w:p>
    <w:p>
      <w:pPr>
        <w:spacing w:line="360" w:lineRule="auto"/>
        <w:ind w:left="420" w:firstLine="317"/>
        <w:rPr>
          <w:rFonts w:hint="eastAsia" w:ascii="宋体" w:hAnsi="宋体"/>
          <w:szCs w:val="21"/>
        </w:rPr>
      </w:pPr>
      <w:r>
        <w:rPr>
          <w:rFonts w:hint="eastAsia" w:ascii="宋体" w:hAnsi="宋体"/>
          <w:szCs w:val="21"/>
        </w:rPr>
        <w:t>第二次，</w:t>
      </w:r>
      <w:r>
        <w:rPr>
          <w:rFonts w:hint="eastAsia"/>
          <w:color w:val="000000"/>
          <w:szCs w:val="21"/>
        </w:rPr>
        <w:t>乙方应在______年____月____日前</w:t>
      </w:r>
      <w:r>
        <w:rPr>
          <w:rFonts w:hint="eastAsia" w:ascii="宋体" w:hAnsi="宋体"/>
          <w:szCs w:val="21"/>
        </w:rPr>
        <w:t>支付剩余50%</w:t>
      </w:r>
      <w:r>
        <w:rPr>
          <w:color w:val="000000"/>
          <w:szCs w:val="21"/>
        </w:rPr>
        <w:t>股权</w:t>
      </w:r>
      <w:r>
        <w:rPr>
          <w:rFonts w:hint="eastAsia" w:ascii="宋体" w:hAnsi="宋体"/>
          <w:szCs w:val="21"/>
        </w:rPr>
        <w:t>认购</w:t>
      </w:r>
      <w:r>
        <w:rPr>
          <w:color w:val="000000"/>
          <w:szCs w:val="21"/>
        </w:rPr>
        <w:t>价款</w:t>
      </w:r>
      <w:r>
        <w:rPr>
          <w:rFonts w:hint="eastAsia"/>
          <w:color w:val="000000"/>
          <w:szCs w:val="21"/>
        </w:rPr>
        <w:t>。</w:t>
      </w:r>
    </w:p>
    <w:p>
      <w:pPr>
        <w:numPr>
          <w:ilvl w:val="1"/>
          <w:numId w:val="40"/>
        </w:numPr>
        <w:spacing w:line="360" w:lineRule="auto"/>
        <w:rPr>
          <w:rFonts w:hint="eastAsia"/>
          <w:color w:val="000000"/>
          <w:szCs w:val="21"/>
        </w:rPr>
      </w:pPr>
      <w:r>
        <w:rPr>
          <w:rFonts w:hint="eastAsia"/>
          <w:color w:val="000000"/>
          <w:szCs w:val="21"/>
        </w:rPr>
        <w:t>具体支付方式双方另行商订。</w:t>
      </w:r>
    </w:p>
    <w:p>
      <w:pPr>
        <w:numPr>
          <w:ilvl w:val="0"/>
          <w:numId w:val="38"/>
        </w:numPr>
        <w:spacing w:line="360" w:lineRule="auto"/>
        <w:rPr>
          <w:rFonts w:hint="eastAsia"/>
          <w:color w:val="000000"/>
          <w:szCs w:val="21"/>
        </w:rPr>
      </w:pPr>
      <w:r>
        <w:rPr>
          <w:rFonts w:hint="eastAsia"/>
          <w:color w:val="000000"/>
          <w:szCs w:val="21"/>
        </w:rPr>
        <w:t>本次认购股份的权利</w:t>
      </w:r>
    </w:p>
    <w:p>
      <w:pPr>
        <w:numPr>
          <w:ilvl w:val="1"/>
          <w:numId w:val="41"/>
        </w:numPr>
        <w:spacing w:line="360" w:lineRule="auto"/>
        <w:rPr>
          <w:rFonts w:hint="eastAsia"/>
          <w:color w:val="000000"/>
          <w:szCs w:val="21"/>
        </w:rPr>
      </w:pPr>
      <w:r>
        <w:rPr>
          <w:rFonts w:hint="eastAsia"/>
          <w:color w:val="000000"/>
          <w:szCs w:val="21"/>
        </w:rPr>
        <w:t>有分红权（在本协议完全履约后补发持有期间的分红所得）</w:t>
      </w:r>
    </w:p>
    <w:p>
      <w:pPr>
        <w:numPr>
          <w:ilvl w:val="1"/>
          <w:numId w:val="41"/>
        </w:numPr>
        <w:spacing w:line="360" w:lineRule="auto"/>
        <w:rPr>
          <w:rFonts w:hint="eastAsia"/>
          <w:color w:val="000000"/>
          <w:szCs w:val="21"/>
        </w:rPr>
      </w:pPr>
      <w:r>
        <w:rPr>
          <w:rFonts w:hint="eastAsia"/>
          <w:color w:val="000000"/>
          <w:szCs w:val="21"/>
        </w:rPr>
        <w:t>有表决权</w:t>
      </w:r>
    </w:p>
    <w:p>
      <w:pPr>
        <w:numPr>
          <w:ilvl w:val="1"/>
          <w:numId w:val="41"/>
        </w:numPr>
        <w:spacing w:line="360" w:lineRule="auto"/>
        <w:rPr>
          <w:rFonts w:hint="eastAsia"/>
          <w:color w:val="000000"/>
          <w:szCs w:val="21"/>
        </w:rPr>
      </w:pPr>
      <w:r>
        <w:rPr>
          <w:rFonts w:hint="eastAsia"/>
          <w:color w:val="000000"/>
          <w:szCs w:val="21"/>
        </w:rPr>
        <w:t>有资产增值收益权</w:t>
      </w:r>
    </w:p>
    <w:p>
      <w:pPr>
        <w:numPr>
          <w:ilvl w:val="1"/>
          <w:numId w:val="41"/>
        </w:numPr>
        <w:spacing w:line="360" w:lineRule="auto"/>
        <w:rPr>
          <w:rFonts w:hint="eastAsia"/>
          <w:color w:val="000000"/>
          <w:szCs w:val="21"/>
        </w:rPr>
      </w:pPr>
      <w:r>
        <w:rPr>
          <w:rFonts w:hint="eastAsia"/>
          <w:color w:val="000000"/>
          <w:szCs w:val="21"/>
        </w:rPr>
        <w:t>没有出让权和出售权</w:t>
      </w:r>
    </w:p>
    <w:p>
      <w:pPr>
        <w:numPr>
          <w:ilvl w:val="0"/>
          <w:numId w:val="38"/>
        </w:numPr>
        <w:spacing w:line="360" w:lineRule="auto"/>
        <w:rPr>
          <w:rFonts w:hint="eastAsia"/>
          <w:color w:val="000000"/>
          <w:szCs w:val="21"/>
        </w:rPr>
      </w:pPr>
      <w:r>
        <w:rPr>
          <w:rFonts w:hint="eastAsia"/>
          <w:color w:val="000000"/>
          <w:szCs w:val="21"/>
        </w:rPr>
        <w:t>本次认购股份的转化</w:t>
      </w:r>
    </w:p>
    <w:p>
      <w:pPr>
        <w:numPr>
          <w:ilvl w:val="1"/>
          <w:numId w:val="42"/>
        </w:numPr>
        <w:spacing w:line="360" w:lineRule="auto"/>
        <w:rPr>
          <w:rFonts w:hint="eastAsia"/>
          <w:color w:val="000000"/>
          <w:szCs w:val="21"/>
        </w:rPr>
      </w:pPr>
      <w:r>
        <w:rPr>
          <w:rFonts w:hint="eastAsia"/>
          <w:color w:val="000000"/>
          <w:szCs w:val="21"/>
        </w:rPr>
        <w:t>本次认购股份在认购日期1年后，已经交付股金部分转化成为普通股。</w:t>
      </w:r>
    </w:p>
    <w:p>
      <w:pPr>
        <w:numPr>
          <w:ilvl w:val="1"/>
          <w:numId w:val="42"/>
        </w:numPr>
        <w:spacing w:line="360" w:lineRule="auto"/>
        <w:rPr>
          <w:rFonts w:hint="eastAsia"/>
          <w:color w:val="000000"/>
          <w:szCs w:val="21"/>
        </w:rPr>
      </w:pPr>
      <w:r>
        <w:rPr>
          <w:rFonts w:hint="eastAsia"/>
          <w:color w:val="000000"/>
          <w:szCs w:val="21"/>
        </w:rPr>
        <w:t>没有根据按本协议规定履约交付股金部分视同自动放弃。</w:t>
      </w:r>
    </w:p>
    <w:p>
      <w:pPr>
        <w:numPr>
          <w:ilvl w:val="1"/>
          <w:numId w:val="42"/>
        </w:numPr>
        <w:spacing w:line="360" w:lineRule="auto"/>
        <w:rPr>
          <w:rFonts w:hint="eastAsia"/>
          <w:color w:val="000000"/>
          <w:szCs w:val="21"/>
        </w:rPr>
      </w:pPr>
      <w:r>
        <w:rPr>
          <w:rFonts w:hint="eastAsia"/>
          <w:color w:val="000000"/>
          <w:szCs w:val="21"/>
        </w:rPr>
        <w:t>本次认购股份转化成为普通股后方可办理股权变更法律手续。</w:t>
      </w:r>
    </w:p>
    <w:p>
      <w:pPr>
        <w:numPr>
          <w:ilvl w:val="0"/>
          <w:numId w:val="38"/>
        </w:numPr>
        <w:spacing w:line="360" w:lineRule="auto"/>
        <w:rPr>
          <w:rFonts w:hint="eastAsia"/>
          <w:color w:val="000000"/>
          <w:szCs w:val="21"/>
        </w:rPr>
      </w:pPr>
      <w:r>
        <w:rPr>
          <w:rFonts w:hint="eastAsia"/>
          <w:color w:val="000000"/>
          <w:szCs w:val="21"/>
        </w:rPr>
        <w:t>本次认购股份在</w:t>
      </w:r>
      <w:r>
        <w:rPr>
          <w:rFonts w:hint="eastAsia" w:ascii="宋体" w:hAnsi="宋体"/>
          <w:szCs w:val="21"/>
        </w:rPr>
        <w:t>转化为</w:t>
      </w:r>
      <w:r>
        <w:rPr>
          <w:rFonts w:hint="eastAsia"/>
          <w:color w:val="000000"/>
          <w:szCs w:val="21"/>
        </w:rPr>
        <w:t>普通股</w:t>
      </w:r>
      <w:r>
        <w:rPr>
          <w:rFonts w:hint="eastAsia" w:ascii="宋体" w:hAnsi="宋体"/>
          <w:szCs w:val="21"/>
        </w:rPr>
        <w:t>之后的退出同普通股。</w:t>
      </w:r>
    </w:p>
    <w:p>
      <w:pPr>
        <w:numPr>
          <w:ilvl w:val="0"/>
          <w:numId w:val="38"/>
        </w:numPr>
        <w:spacing w:line="360" w:lineRule="auto"/>
        <w:rPr>
          <w:rFonts w:hint="eastAsia"/>
          <w:color w:val="000000"/>
          <w:szCs w:val="21"/>
        </w:rPr>
      </w:pPr>
      <w:r>
        <w:rPr>
          <w:rFonts w:hint="eastAsia"/>
          <w:color w:val="000000"/>
          <w:szCs w:val="21"/>
        </w:rPr>
        <w:t>本次认购股份在</w:t>
      </w:r>
      <w:r>
        <w:rPr>
          <w:rFonts w:hint="eastAsia" w:ascii="宋体" w:hAnsi="宋体"/>
          <w:szCs w:val="21"/>
        </w:rPr>
        <w:t>转化为</w:t>
      </w:r>
      <w:r>
        <w:rPr>
          <w:rFonts w:hint="eastAsia"/>
          <w:color w:val="000000"/>
          <w:szCs w:val="21"/>
        </w:rPr>
        <w:t>普通股</w:t>
      </w:r>
      <w:r>
        <w:rPr>
          <w:rFonts w:hint="eastAsia" w:ascii="宋体" w:hAnsi="宋体"/>
          <w:szCs w:val="21"/>
        </w:rPr>
        <w:t>之前的退出</w:t>
      </w:r>
    </w:p>
    <w:p>
      <w:pPr>
        <w:numPr>
          <w:ilvl w:val="1"/>
          <w:numId w:val="43"/>
        </w:numPr>
        <w:spacing w:line="360" w:lineRule="auto"/>
        <w:rPr>
          <w:rFonts w:hint="eastAsia"/>
          <w:color w:val="000000"/>
          <w:szCs w:val="21"/>
        </w:rPr>
      </w:pPr>
      <w:r>
        <w:rPr>
          <w:rFonts w:hint="eastAsia"/>
          <w:color w:val="000000"/>
          <w:szCs w:val="21"/>
        </w:rPr>
        <w:t>已经支付股金的部分以认购价格出让给原有股东。</w:t>
      </w:r>
    </w:p>
    <w:p>
      <w:pPr>
        <w:numPr>
          <w:ilvl w:val="1"/>
          <w:numId w:val="43"/>
        </w:numPr>
        <w:spacing w:line="360" w:lineRule="auto"/>
        <w:rPr>
          <w:rFonts w:hint="eastAsia"/>
          <w:color w:val="000000"/>
          <w:szCs w:val="21"/>
        </w:rPr>
      </w:pPr>
      <w:r>
        <w:rPr>
          <w:rFonts w:hint="eastAsia"/>
          <w:color w:val="000000"/>
          <w:szCs w:val="21"/>
        </w:rPr>
        <w:t>未支付股金的部分自动失效。</w:t>
      </w:r>
    </w:p>
    <w:p>
      <w:pPr>
        <w:numPr>
          <w:ilvl w:val="0"/>
          <w:numId w:val="38"/>
        </w:numPr>
        <w:spacing w:line="360" w:lineRule="auto"/>
        <w:rPr>
          <w:rFonts w:hint="eastAsia"/>
          <w:color w:val="000000"/>
          <w:szCs w:val="21"/>
        </w:rPr>
      </w:pPr>
      <w:r>
        <w:rPr>
          <w:rFonts w:hint="eastAsia"/>
          <w:color w:val="000000"/>
          <w:szCs w:val="21"/>
        </w:rPr>
        <w:t>本次认购股份中</w:t>
      </w:r>
      <w:r>
        <w:rPr>
          <w:rFonts w:hint="eastAsia" w:ascii="宋体" w:hAnsi="宋体"/>
          <w:szCs w:val="21"/>
        </w:rPr>
        <w:t>按照本协议履约的</w:t>
      </w:r>
      <w:r>
        <w:rPr>
          <w:rFonts w:hint="eastAsia"/>
          <w:color w:val="000000"/>
          <w:szCs w:val="21"/>
        </w:rPr>
        <w:t>已经支付股金的部分</w:t>
      </w:r>
      <w:r>
        <w:rPr>
          <w:rFonts w:hint="eastAsia" w:ascii="宋体" w:hAnsi="宋体"/>
          <w:szCs w:val="21"/>
        </w:rPr>
        <w:t>由甲乙双方另行签订内部股权转让协议。</w:t>
      </w:r>
    </w:p>
    <w:p>
      <w:pPr>
        <w:numPr>
          <w:ilvl w:val="0"/>
          <w:numId w:val="38"/>
        </w:numPr>
        <w:spacing w:line="360" w:lineRule="auto"/>
        <w:rPr>
          <w:rFonts w:hint="eastAsia"/>
          <w:color w:val="000000"/>
          <w:szCs w:val="21"/>
        </w:rPr>
      </w:pPr>
      <w:r>
        <w:rPr>
          <w:rFonts w:ascii="宋体" w:hAnsi="宋体"/>
          <w:szCs w:val="21"/>
        </w:rPr>
        <w:t>违约责任</w:t>
      </w:r>
    </w:p>
    <w:p>
      <w:pPr>
        <w:numPr>
          <w:ilvl w:val="1"/>
          <w:numId w:val="44"/>
        </w:numPr>
        <w:spacing w:line="360" w:lineRule="auto"/>
        <w:rPr>
          <w:rFonts w:hint="eastAsia"/>
          <w:color w:val="000000"/>
          <w:szCs w:val="21"/>
        </w:rPr>
      </w:pPr>
      <w:r>
        <w:rPr>
          <w:color w:val="000000"/>
          <w:szCs w:val="21"/>
        </w:rPr>
        <w:t>本协议正式签订后，任何一方不履行或不完全履行本协议约定条款的，即构成违约。违约方应当负责赔偿其违约行为给守约方造成的一切直接经济损失。</w:t>
      </w:r>
    </w:p>
    <w:p>
      <w:pPr>
        <w:numPr>
          <w:ilvl w:val="1"/>
          <w:numId w:val="44"/>
        </w:numPr>
        <w:spacing w:line="360" w:lineRule="auto"/>
        <w:rPr>
          <w:rFonts w:hint="eastAsia"/>
          <w:color w:val="000000"/>
          <w:szCs w:val="21"/>
        </w:rPr>
      </w:pPr>
      <w:r>
        <w:rPr>
          <w:color w:val="000000"/>
          <w:szCs w:val="21"/>
        </w:rPr>
        <w:t>任何一方违约时，守约方有权要求违约方继续履行本协议。</w:t>
      </w:r>
    </w:p>
    <w:p>
      <w:pPr>
        <w:numPr>
          <w:ilvl w:val="0"/>
          <w:numId w:val="38"/>
        </w:numPr>
        <w:spacing w:line="360" w:lineRule="auto"/>
        <w:rPr>
          <w:rFonts w:hint="eastAsia"/>
          <w:color w:val="000000"/>
          <w:szCs w:val="21"/>
        </w:rPr>
      </w:pPr>
      <w:r>
        <w:rPr>
          <w:rFonts w:ascii="宋体" w:hAnsi="宋体"/>
          <w:szCs w:val="21"/>
        </w:rPr>
        <w:t>协议的变更和解除</w:t>
      </w:r>
    </w:p>
    <w:p>
      <w:pPr>
        <w:numPr>
          <w:ilvl w:val="1"/>
          <w:numId w:val="45"/>
        </w:numPr>
        <w:spacing w:line="360" w:lineRule="auto"/>
        <w:rPr>
          <w:rFonts w:hint="eastAsia"/>
          <w:color w:val="000000"/>
          <w:szCs w:val="21"/>
        </w:rPr>
      </w:pPr>
      <w:r>
        <w:rPr>
          <w:color w:val="000000"/>
          <w:szCs w:val="21"/>
        </w:rPr>
        <w:t>本协议的变更，必须经双方共同协商，并订立书面变更协议。如协商不能达成一致，本协议继续有效。</w:t>
      </w:r>
    </w:p>
    <w:p>
      <w:pPr>
        <w:numPr>
          <w:ilvl w:val="1"/>
          <w:numId w:val="45"/>
        </w:numPr>
        <w:spacing w:line="360" w:lineRule="auto"/>
        <w:rPr>
          <w:rFonts w:hint="eastAsia"/>
          <w:color w:val="000000"/>
          <w:szCs w:val="21"/>
        </w:rPr>
      </w:pPr>
      <w:r>
        <w:rPr>
          <w:color w:val="000000"/>
          <w:szCs w:val="21"/>
        </w:rPr>
        <w:t>任何一方违约时，守约一方有权要求违约方继续履行本协议。</w:t>
      </w:r>
    </w:p>
    <w:p>
      <w:pPr>
        <w:numPr>
          <w:ilvl w:val="1"/>
          <w:numId w:val="45"/>
        </w:numPr>
        <w:spacing w:line="360" w:lineRule="auto"/>
        <w:rPr>
          <w:rFonts w:hint="eastAsia"/>
          <w:color w:val="000000"/>
          <w:szCs w:val="21"/>
        </w:rPr>
      </w:pPr>
      <w:r>
        <w:rPr>
          <w:color w:val="000000"/>
          <w:szCs w:val="21"/>
        </w:rPr>
        <w:t>双方一致同意终止本协议的履行时，须订立书面协议，经双方签字盖章后方可生效。</w:t>
      </w:r>
    </w:p>
    <w:p>
      <w:pPr>
        <w:numPr>
          <w:ilvl w:val="0"/>
          <w:numId w:val="38"/>
        </w:numPr>
        <w:spacing w:line="360" w:lineRule="auto"/>
        <w:rPr>
          <w:rFonts w:hint="eastAsia"/>
          <w:color w:val="000000"/>
          <w:szCs w:val="21"/>
        </w:rPr>
      </w:pPr>
      <w:r>
        <w:rPr>
          <w:rFonts w:ascii="宋体" w:hAnsi="宋体"/>
          <w:szCs w:val="21"/>
        </w:rPr>
        <w:t>适用的法律及争议的解决</w:t>
      </w:r>
    </w:p>
    <w:p>
      <w:pPr>
        <w:numPr>
          <w:ilvl w:val="1"/>
          <w:numId w:val="46"/>
        </w:numPr>
        <w:spacing w:line="360" w:lineRule="auto"/>
        <w:rPr>
          <w:rFonts w:hint="eastAsia"/>
          <w:color w:val="000000"/>
          <w:szCs w:val="21"/>
        </w:rPr>
      </w:pPr>
      <w:r>
        <w:rPr>
          <w:color w:val="000000"/>
          <w:szCs w:val="21"/>
        </w:rPr>
        <w:t>本协议适用中华人民共和国的法律。</w:t>
      </w:r>
    </w:p>
    <w:p>
      <w:pPr>
        <w:numPr>
          <w:ilvl w:val="1"/>
          <w:numId w:val="46"/>
        </w:numPr>
        <w:spacing w:line="360" w:lineRule="auto"/>
        <w:rPr>
          <w:rFonts w:hint="eastAsia"/>
          <w:color w:val="000000"/>
          <w:szCs w:val="21"/>
        </w:rPr>
      </w:pPr>
      <w:r>
        <w:rPr>
          <w:color w:val="000000"/>
          <w:szCs w:val="21"/>
        </w:rPr>
        <w:t>凡因履行本协议所发生的或与本协议有关的一切争议双方应当通过友好协商解决；如协商不成，任何一方都有权提起诉讼。</w:t>
      </w:r>
    </w:p>
    <w:p>
      <w:pPr>
        <w:numPr>
          <w:ilvl w:val="0"/>
          <w:numId w:val="38"/>
        </w:numPr>
        <w:spacing w:line="360" w:lineRule="auto"/>
        <w:rPr>
          <w:rFonts w:hint="eastAsia"/>
          <w:color w:val="000000"/>
          <w:szCs w:val="21"/>
        </w:rPr>
      </w:pPr>
      <w:r>
        <w:rPr>
          <w:rFonts w:ascii="宋体" w:hAnsi="宋体"/>
          <w:szCs w:val="21"/>
        </w:rPr>
        <w:t>协议的生效及其他</w:t>
      </w:r>
    </w:p>
    <w:p>
      <w:pPr>
        <w:spacing w:line="360" w:lineRule="auto"/>
        <w:ind w:left="227" w:leftChars="108" w:firstLine="420" w:firstLineChars="200"/>
        <w:rPr>
          <w:rFonts w:hint="eastAsia"/>
          <w:color w:val="000000"/>
          <w:szCs w:val="21"/>
        </w:rPr>
      </w:pPr>
      <w:r>
        <w:rPr>
          <w:color w:val="000000"/>
          <w:szCs w:val="21"/>
        </w:rPr>
        <w:t>本协议经双方签字盖章后生效，本协议一式</w:t>
      </w:r>
      <w:r>
        <w:rPr>
          <w:rFonts w:hint="eastAsia"/>
          <w:color w:val="000000"/>
          <w:szCs w:val="21"/>
        </w:rPr>
        <w:t>两</w:t>
      </w:r>
      <w:r>
        <w:rPr>
          <w:color w:val="000000"/>
          <w:szCs w:val="21"/>
        </w:rPr>
        <w:t>份，</w:t>
      </w:r>
      <w:r>
        <w:rPr>
          <w:rFonts w:hint="eastAsia"/>
          <w:color w:val="000000"/>
          <w:szCs w:val="21"/>
        </w:rPr>
        <w:t>甲</w:t>
      </w:r>
      <w:r>
        <w:rPr>
          <w:rFonts w:hint="eastAsia"/>
          <w:szCs w:val="21"/>
        </w:rPr>
        <w:t>方</w:t>
      </w:r>
      <w:r>
        <w:rPr>
          <w:color w:val="000000"/>
          <w:szCs w:val="21"/>
        </w:rPr>
        <w:t>持一份，</w:t>
      </w:r>
      <w:r>
        <w:rPr>
          <w:rFonts w:hint="eastAsia"/>
          <w:szCs w:val="21"/>
        </w:rPr>
        <w:t>乙方</w:t>
      </w:r>
      <w:r>
        <w:rPr>
          <w:color w:val="000000"/>
          <w:szCs w:val="21"/>
        </w:rPr>
        <w:t>持一份</w:t>
      </w:r>
      <w:r>
        <w:rPr>
          <w:rFonts w:hint="eastAsia"/>
          <w:color w:val="000000"/>
          <w:szCs w:val="21"/>
        </w:rPr>
        <w:t>。</w:t>
      </w:r>
    </w:p>
    <w:p>
      <w:pPr>
        <w:spacing w:line="360" w:lineRule="auto"/>
        <w:rPr>
          <w:rFonts w:hint="eastAsia" w:ascii="宋体" w:hAnsi="宋体"/>
          <w:szCs w:val="21"/>
        </w:rPr>
      </w:pPr>
    </w:p>
    <w:p>
      <w:pPr>
        <w:spacing w:line="360" w:lineRule="auto"/>
        <w:ind w:firstLine="420" w:firstLineChars="200"/>
        <w:rPr>
          <w:rFonts w:hint="eastAsia"/>
          <w:szCs w:val="21"/>
        </w:rPr>
      </w:pPr>
      <w:r>
        <w:rPr>
          <w:rFonts w:hint="eastAsia"/>
          <w:szCs w:val="21"/>
        </w:rPr>
        <w:t xml:space="preserve">甲方：                                  乙方： </w:t>
      </w:r>
    </w:p>
    <w:p>
      <w:pPr>
        <w:spacing w:line="360" w:lineRule="auto"/>
        <w:rPr>
          <w:rFonts w:hint="eastAsia"/>
          <w:sz w:val="24"/>
        </w:rPr>
      </w:pPr>
      <w:r>
        <w:rPr>
          <w:rFonts w:hint="eastAsia"/>
          <w:sz w:val="24"/>
        </w:rPr>
        <w:t xml:space="preserve">      </w:t>
      </w:r>
    </w:p>
    <w:p>
      <w:pPr>
        <w:spacing w:line="360" w:lineRule="auto"/>
        <w:ind w:firstLine="720" w:firstLineChars="300"/>
        <w:rPr>
          <w:rFonts w:hint="eastAsia"/>
          <w:sz w:val="24"/>
        </w:rPr>
      </w:pPr>
    </w:p>
    <w:p>
      <w:pPr>
        <w:spacing w:line="360" w:lineRule="auto"/>
        <w:ind w:firstLine="720" w:firstLineChars="300"/>
        <w:rPr>
          <w:rFonts w:hint="eastAsia"/>
          <w:sz w:val="24"/>
        </w:rPr>
      </w:pPr>
      <w:r>
        <w:rPr>
          <w:rFonts w:hint="eastAsia"/>
          <w:sz w:val="24"/>
        </w:rPr>
        <w:t xml:space="preserve">年  月  日                            　　　　年  月  日  </w:t>
      </w:r>
    </w:p>
    <w:p>
      <w:pPr>
        <w:pStyle w:val="4"/>
        <w:numPr>
          <w:ilvl w:val="0"/>
          <w:numId w:val="0"/>
        </w:numPr>
        <w:spacing w:line="360" w:lineRule="auto"/>
        <w:ind w:left="360"/>
        <w:rPr>
          <w:rFonts w:hint="eastAsia"/>
        </w:rPr>
      </w:pPr>
      <w:r>
        <w:br w:type="page"/>
      </w:r>
      <w:bookmarkStart w:id="19" w:name="_Toc60141883"/>
      <w:r>
        <w:rPr>
          <w:rFonts w:hint="eastAsia"/>
        </w:rPr>
        <w:t>附录三：内部股权转让协议</w:t>
      </w:r>
      <w:bookmarkEnd w:id="19"/>
    </w:p>
    <w:p>
      <w:pPr>
        <w:spacing w:line="360" w:lineRule="auto"/>
        <w:ind w:firstLine="210" w:firstLineChars="100"/>
        <w:rPr>
          <w:rFonts w:hint="eastAsia"/>
          <w:szCs w:val="21"/>
        </w:rPr>
      </w:pPr>
      <w:r>
        <w:rPr>
          <w:rFonts w:hint="eastAsia"/>
          <w:szCs w:val="21"/>
        </w:rPr>
        <w:t xml:space="preserve">甲方（出让方）： </w:t>
      </w:r>
    </w:p>
    <w:p>
      <w:pPr>
        <w:spacing w:line="360" w:lineRule="auto"/>
        <w:ind w:firstLine="210" w:firstLineChars="100"/>
        <w:rPr>
          <w:rFonts w:hint="eastAsia"/>
          <w:szCs w:val="21"/>
        </w:rPr>
      </w:pPr>
      <w:r>
        <w:rPr>
          <w:rFonts w:hint="eastAsia"/>
          <w:szCs w:val="21"/>
        </w:rPr>
        <w:t xml:space="preserve">乙方（受让方）： </w:t>
      </w:r>
    </w:p>
    <w:p>
      <w:pPr>
        <w:spacing w:line="360" w:lineRule="auto"/>
        <w:ind w:left="227" w:firstLine="420"/>
        <w:rPr>
          <w:rFonts w:hint="eastAsia"/>
          <w:szCs w:val="21"/>
        </w:rPr>
      </w:pPr>
      <w:r>
        <w:rPr>
          <w:rFonts w:hint="eastAsia"/>
          <w:szCs w:val="21"/>
        </w:rPr>
        <w:t>双方经过友好协商，就鼎视通软件技术有限公司股权转让，达成协议如下：</w:t>
      </w:r>
    </w:p>
    <w:p>
      <w:pPr>
        <w:numPr>
          <w:ilvl w:val="0"/>
          <w:numId w:val="47"/>
        </w:numPr>
        <w:spacing w:line="360" w:lineRule="auto"/>
        <w:rPr>
          <w:rFonts w:hint="eastAsia" w:ascii="宋体" w:hAnsi="宋体"/>
          <w:szCs w:val="21"/>
        </w:rPr>
      </w:pPr>
      <w:r>
        <w:rPr>
          <w:rFonts w:ascii="宋体" w:hAnsi="宋体"/>
          <w:szCs w:val="21"/>
        </w:rPr>
        <w:t>转让标的及价款</w:t>
      </w:r>
    </w:p>
    <w:p>
      <w:pPr>
        <w:numPr>
          <w:ilvl w:val="1"/>
          <w:numId w:val="48"/>
        </w:numPr>
        <w:spacing w:line="360" w:lineRule="auto"/>
        <w:rPr>
          <w:rFonts w:hint="eastAsia" w:ascii="宋体" w:hAnsi="宋体"/>
          <w:szCs w:val="21"/>
        </w:rPr>
      </w:pPr>
      <w:r>
        <w:rPr>
          <w:rFonts w:hint="eastAsia"/>
          <w:color w:val="000000"/>
          <w:szCs w:val="21"/>
        </w:rPr>
        <w:t>转让方</w:t>
      </w:r>
      <w:r>
        <w:rPr>
          <w:color w:val="000000"/>
          <w:szCs w:val="21"/>
        </w:rPr>
        <w:t>将其持有的</w:t>
      </w:r>
      <w:r>
        <w:rPr>
          <w:rFonts w:hint="eastAsia"/>
          <w:color w:val="000000"/>
          <w:szCs w:val="21"/>
        </w:rPr>
        <w:t>北京</w:t>
      </w:r>
      <w:r>
        <w:rPr>
          <w:rFonts w:hint="eastAsia"/>
          <w:szCs w:val="21"/>
        </w:rPr>
        <w:t>鼎视通软件技术有限公司</w:t>
      </w:r>
      <w:r>
        <w:rPr>
          <w:rFonts w:hint="eastAsia"/>
          <w:color w:val="000000"/>
          <w:szCs w:val="21"/>
        </w:rPr>
        <w:t>_____%</w:t>
      </w:r>
      <w:r>
        <w:rPr>
          <w:color w:val="000000"/>
          <w:szCs w:val="21"/>
        </w:rPr>
        <w:t>的股权</w:t>
      </w:r>
      <w:r>
        <w:rPr>
          <w:rFonts w:hint="eastAsia"/>
          <w:color w:val="000000"/>
          <w:szCs w:val="21"/>
        </w:rPr>
        <w:t>转让给受让方。</w:t>
      </w:r>
    </w:p>
    <w:p>
      <w:pPr>
        <w:numPr>
          <w:ilvl w:val="1"/>
          <w:numId w:val="48"/>
        </w:numPr>
        <w:spacing w:line="360" w:lineRule="auto"/>
        <w:rPr>
          <w:rFonts w:hint="eastAsia" w:ascii="宋体" w:hAnsi="宋体"/>
          <w:szCs w:val="21"/>
        </w:rPr>
      </w:pPr>
      <w:r>
        <w:rPr>
          <w:rFonts w:hint="eastAsia"/>
          <w:color w:val="000000"/>
          <w:szCs w:val="21"/>
        </w:rPr>
        <w:t>受让方</w:t>
      </w:r>
      <w:r>
        <w:rPr>
          <w:color w:val="000000"/>
          <w:szCs w:val="21"/>
        </w:rPr>
        <w:t>同意接受上述股权的转让</w:t>
      </w:r>
      <w:r>
        <w:rPr>
          <w:rFonts w:hint="eastAsia"/>
          <w:color w:val="000000"/>
          <w:szCs w:val="21"/>
        </w:rPr>
        <w:t>。</w:t>
      </w:r>
    </w:p>
    <w:p>
      <w:pPr>
        <w:numPr>
          <w:ilvl w:val="1"/>
          <w:numId w:val="48"/>
        </w:numPr>
        <w:spacing w:line="360" w:lineRule="auto"/>
        <w:rPr>
          <w:rFonts w:hint="eastAsia" w:ascii="宋体" w:hAnsi="宋体"/>
          <w:szCs w:val="21"/>
        </w:rPr>
      </w:pPr>
      <w:r>
        <w:rPr>
          <w:color w:val="000000"/>
          <w:szCs w:val="21"/>
        </w:rPr>
        <w:t>双方确定的转让价格为</w:t>
      </w:r>
      <w:r>
        <w:rPr>
          <w:rFonts w:hint="eastAsia"/>
          <w:color w:val="000000"/>
          <w:szCs w:val="21"/>
        </w:rPr>
        <w:t>____________。</w:t>
      </w:r>
    </w:p>
    <w:p>
      <w:pPr>
        <w:numPr>
          <w:ilvl w:val="1"/>
          <w:numId w:val="48"/>
        </w:numPr>
        <w:spacing w:line="360" w:lineRule="auto"/>
        <w:rPr>
          <w:rFonts w:hint="eastAsia"/>
          <w:color w:val="000000"/>
          <w:szCs w:val="21"/>
        </w:rPr>
      </w:pPr>
      <w:r>
        <w:rPr>
          <w:rFonts w:hint="eastAsia"/>
          <w:color w:val="000000"/>
          <w:szCs w:val="21"/>
        </w:rPr>
        <w:t>公司股东会已就股权转让事宜进行审议并已作出相关决议;</w:t>
      </w:r>
    </w:p>
    <w:p>
      <w:pPr>
        <w:numPr>
          <w:ilvl w:val="1"/>
          <w:numId w:val="48"/>
        </w:numPr>
        <w:spacing w:line="360" w:lineRule="auto"/>
        <w:rPr>
          <w:rFonts w:hint="eastAsia"/>
          <w:color w:val="000000"/>
          <w:szCs w:val="21"/>
        </w:rPr>
      </w:pPr>
      <w:r>
        <w:rPr>
          <w:rFonts w:hint="eastAsia"/>
          <w:color w:val="000000"/>
          <w:szCs w:val="21"/>
        </w:rPr>
        <w:t>转让方</w:t>
      </w:r>
      <w:r>
        <w:rPr>
          <w:color w:val="000000"/>
          <w:szCs w:val="21"/>
        </w:rPr>
        <w:t>保证对其向</w:t>
      </w:r>
      <w:r>
        <w:rPr>
          <w:rFonts w:hint="eastAsia"/>
          <w:color w:val="000000"/>
          <w:szCs w:val="21"/>
        </w:rPr>
        <w:t>受让方</w:t>
      </w:r>
      <w:r>
        <w:rPr>
          <w:color w:val="000000"/>
          <w:szCs w:val="21"/>
        </w:rPr>
        <w:t>转让的股权享有完全的独立权益，没有设置任何质押，未涉及任何争议及诉讼</w:t>
      </w:r>
      <w:r>
        <w:rPr>
          <w:rFonts w:hint="eastAsia"/>
          <w:color w:val="000000"/>
          <w:szCs w:val="21"/>
        </w:rPr>
        <w:t>。</w:t>
      </w:r>
    </w:p>
    <w:p>
      <w:pPr>
        <w:numPr>
          <w:ilvl w:val="1"/>
          <w:numId w:val="48"/>
        </w:numPr>
        <w:spacing w:line="360" w:lineRule="auto"/>
        <w:rPr>
          <w:rFonts w:hint="eastAsia"/>
          <w:color w:val="000000"/>
          <w:szCs w:val="21"/>
        </w:rPr>
      </w:pPr>
      <w:r>
        <w:rPr>
          <w:rFonts w:hint="eastAsia"/>
          <w:color w:val="000000"/>
          <w:szCs w:val="21"/>
        </w:rPr>
        <w:t>双方均充分理解在本次股权转让过程中各自的权利义务，并均同意依法进行本次股权转让。</w:t>
      </w:r>
    </w:p>
    <w:p>
      <w:pPr>
        <w:numPr>
          <w:ilvl w:val="0"/>
          <w:numId w:val="47"/>
        </w:numPr>
        <w:spacing w:line="360" w:lineRule="auto"/>
        <w:rPr>
          <w:rFonts w:hint="eastAsia" w:ascii="宋体" w:hAnsi="宋体"/>
          <w:szCs w:val="21"/>
        </w:rPr>
      </w:pPr>
      <w:r>
        <w:rPr>
          <w:rFonts w:ascii="宋体" w:hAnsi="宋体"/>
          <w:szCs w:val="21"/>
        </w:rPr>
        <w:t>双方的权利义务</w:t>
      </w:r>
    </w:p>
    <w:p>
      <w:pPr>
        <w:numPr>
          <w:ilvl w:val="1"/>
          <w:numId w:val="49"/>
        </w:numPr>
        <w:spacing w:line="360" w:lineRule="auto"/>
        <w:rPr>
          <w:rFonts w:hint="eastAsia"/>
          <w:color w:val="000000"/>
          <w:szCs w:val="21"/>
        </w:rPr>
      </w:pPr>
      <w:r>
        <w:rPr>
          <w:rFonts w:hint="eastAsia"/>
          <w:color w:val="000000"/>
          <w:szCs w:val="21"/>
        </w:rPr>
        <w:t>受让方按其出资额承担公司受让后所产生的所有债权，债务及其他费用。</w:t>
      </w:r>
    </w:p>
    <w:p>
      <w:pPr>
        <w:numPr>
          <w:ilvl w:val="1"/>
          <w:numId w:val="49"/>
        </w:numPr>
        <w:spacing w:line="360" w:lineRule="auto"/>
        <w:rPr>
          <w:rFonts w:hint="eastAsia"/>
          <w:color w:val="000000"/>
          <w:szCs w:val="21"/>
        </w:rPr>
      </w:pPr>
      <w:r>
        <w:rPr>
          <w:rFonts w:hint="eastAsia"/>
          <w:color w:val="000000"/>
          <w:szCs w:val="21"/>
        </w:rPr>
        <w:t>转让之前，转让方按其在公司出资份额享受权利承担义务；转让之后，受让方按其出资额享受权利和承担义务。</w:t>
      </w:r>
    </w:p>
    <w:p>
      <w:pPr>
        <w:numPr>
          <w:ilvl w:val="1"/>
          <w:numId w:val="49"/>
        </w:numPr>
        <w:spacing w:line="360" w:lineRule="auto"/>
        <w:rPr>
          <w:rFonts w:hint="eastAsia"/>
          <w:color w:val="000000"/>
          <w:szCs w:val="21"/>
        </w:rPr>
      </w:pPr>
      <w:r>
        <w:rPr>
          <w:rFonts w:hint="eastAsia"/>
          <w:color w:val="000000"/>
          <w:szCs w:val="21"/>
        </w:rPr>
        <w:t>受让方</w:t>
      </w:r>
      <w:r>
        <w:rPr>
          <w:color w:val="000000"/>
          <w:szCs w:val="21"/>
        </w:rPr>
        <w:t>应按照本协议的约定按时支付股权转让价款</w:t>
      </w:r>
      <w:r>
        <w:rPr>
          <w:rFonts w:hint="eastAsia"/>
          <w:color w:val="000000"/>
          <w:szCs w:val="21"/>
        </w:rPr>
        <w:t>。</w:t>
      </w:r>
    </w:p>
    <w:p>
      <w:pPr>
        <w:numPr>
          <w:ilvl w:val="0"/>
          <w:numId w:val="47"/>
        </w:numPr>
        <w:spacing w:line="360" w:lineRule="auto"/>
        <w:rPr>
          <w:rFonts w:hint="eastAsia"/>
          <w:color w:val="000000"/>
          <w:szCs w:val="21"/>
        </w:rPr>
      </w:pPr>
      <w:r>
        <w:rPr>
          <w:rFonts w:ascii="宋体" w:hAnsi="宋体"/>
          <w:szCs w:val="21"/>
        </w:rPr>
        <w:t>转让款的支付</w:t>
      </w:r>
    </w:p>
    <w:p>
      <w:pPr>
        <w:numPr>
          <w:ilvl w:val="1"/>
          <w:numId w:val="50"/>
        </w:numPr>
        <w:spacing w:line="360" w:lineRule="auto"/>
        <w:rPr>
          <w:rFonts w:hint="eastAsia"/>
          <w:color w:val="000000"/>
          <w:szCs w:val="21"/>
        </w:rPr>
      </w:pPr>
      <w:r>
        <w:rPr>
          <w:rFonts w:hint="eastAsia"/>
          <w:color w:val="000000"/>
          <w:szCs w:val="21"/>
        </w:rPr>
        <w:t>本协议生效后</w:t>
      </w:r>
      <w:r>
        <w:rPr>
          <w:rFonts w:hint="eastAsia"/>
          <w:color w:val="000000"/>
          <w:szCs w:val="21"/>
          <w:u w:val="single"/>
        </w:rPr>
        <w:t xml:space="preserve">          </w:t>
      </w:r>
      <w:r>
        <w:rPr>
          <w:rFonts w:hint="eastAsia"/>
          <w:color w:val="000000"/>
          <w:szCs w:val="21"/>
        </w:rPr>
        <w:t>日内，受让方应按本协议的规定足额支付给转让方约定的转让款；</w:t>
      </w:r>
    </w:p>
    <w:p>
      <w:pPr>
        <w:numPr>
          <w:ilvl w:val="1"/>
          <w:numId w:val="50"/>
        </w:numPr>
        <w:spacing w:line="360" w:lineRule="auto"/>
        <w:rPr>
          <w:rFonts w:hint="eastAsia"/>
          <w:color w:val="000000"/>
          <w:szCs w:val="21"/>
        </w:rPr>
      </w:pPr>
      <w:r>
        <w:rPr>
          <w:rFonts w:hint="eastAsia"/>
          <w:color w:val="000000"/>
          <w:szCs w:val="21"/>
        </w:rPr>
        <w:t>具体支付方式由双方自行商定。</w:t>
      </w:r>
    </w:p>
    <w:p>
      <w:pPr>
        <w:numPr>
          <w:ilvl w:val="0"/>
          <w:numId w:val="47"/>
        </w:numPr>
        <w:spacing w:line="360" w:lineRule="auto"/>
        <w:rPr>
          <w:rFonts w:hint="eastAsia"/>
          <w:color w:val="000000"/>
          <w:szCs w:val="21"/>
        </w:rPr>
      </w:pPr>
      <w:r>
        <w:rPr>
          <w:rFonts w:ascii="宋体" w:hAnsi="宋体"/>
          <w:szCs w:val="21"/>
        </w:rPr>
        <w:t>违约责任</w:t>
      </w:r>
    </w:p>
    <w:p>
      <w:pPr>
        <w:numPr>
          <w:ilvl w:val="1"/>
          <w:numId w:val="51"/>
        </w:numPr>
        <w:spacing w:line="360" w:lineRule="auto"/>
        <w:rPr>
          <w:rFonts w:hint="eastAsia"/>
          <w:color w:val="000000"/>
          <w:szCs w:val="21"/>
        </w:rPr>
      </w:pPr>
      <w:r>
        <w:rPr>
          <w:color w:val="000000"/>
          <w:szCs w:val="21"/>
        </w:rPr>
        <w:t>本协议正式签订后，任何一方不履行或不完全履行本协议约定条款的，即构成违约。违约方应当负责赔偿其违约行为给守约方造成的一切直接经济损失。</w:t>
      </w:r>
    </w:p>
    <w:p>
      <w:pPr>
        <w:numPr>
          <w:ilvl w:val="1"/>
          <w:numId w:val="51"/>
        </w:numPr>
        <w:spacing w:line="360" w:lineRule="auto"/>
        <w:rPr>
          <w:rFonts w:hint="eastAsia"/>
          <w:color w:val="000000"/>
          <w:szCs w:val="21"/>
        </w:rPr>
      </w:pPr>
      <w:r>
        <w:rPr>
          <w:color w:val="000000"/>
          <w:szCs w:val="21"/>
        </w:rPr>
        <w:t>任何一方违约时，守约方有权要求违约方继续履行本协议。</w:t>
      </w:r>
    </w:p>
    <w:p>
      <w:pPr>
        <w:numPr>
          <w:ilvl w:val="0"/>
          <w:numId w:val="47"/>
        </w:numPr>
        <w:spacing w:line="360" w:lineRule="auto"/>
        <w:rPr>
          <w:rFonts w:hint="eastAsia"/>
          <w:color w:val="000000"/>
          <w:szCs w:val="21"/>
        </w:rPr>
      </w:pPr>
      <w:r>
        <w:rPr>
          <w:rFonts w:ascii="宋体" w:hAnsi="宋体"/>
          <w:szCs w:val="21"/>
        </w:rPr>
        <w:t>协议的变更和解除</w:t>
      </w:r>
    </w:p>
    <w:p>
      <w:pPr>
        <w:numPr>
          <w:ilvl w:val="1"/>
          <w:numId w:val="52"/>
        </w:numPr>
        <w:spacing w:line="360" w:lineRule="auto"/>
        <w:rPr>
          <w:rFonts w:hint="eastAsia"/>
          <w:color w:val="000000"/>
          <w:szCs w:val="21"/>
        </w:rPr>
      </w:pPr>
      <w:r>
        <w:rPr>
          <w:color w:val="000000"/>
          <w:szCs w:val="21"/>
        </w:rPr>
        <w:t>本协议的变更，必须经双方共同协商，并订立书面变更协议。如协商不能达成一致，本协议继续有效。</w:t>
      </w:r>
    </w:p>
    <w:p>
      <w:pPr>
        <w:numPr>
          <w:ilvl w:val="1"/>
          <w:numId w:val="52"/>
        </w:numPr>
        <w:spacing w:line="360" w:lineRule="auto"/>
        <w:rPr>
          <w:rFonts w:hint="eastAsia"/>
          <w:color w:val="000000"/>
          <w:szCs w:val="21"/>
        </w:rPr>
      </w:pPr>
      <w:r>
        <w:rPr>
          <w:color w:val="000000"/>
          <w:szCs w:val="21"/>
        </w:rPr>
        <w:t>任何一方违约时，守约一方有权要求违约方继续履行本协议。</w:t>
      </w:r>
    </w:p>
    <w:p>
      <w:pPr>
        <w:numPr>
          <w:ilvl w:val="1"/>
          <w:numId w:val="52"/>
        </w:numPr>
        <w:spacing w:line="360" w:lineRule="auto"/>
        <w:rPr>
          <w:rFonts w:hint="eastAsia"/>
          <w:color w:val="000000"/>
          <w:szCs w:val="21"/>
        </w:rPr>
      </w:pPr>
      <w:r>
        <w:rPr>
          <w:color w:val="000000"/>
          <w:szCs w:val="21"/>
        </w:rPr>
        <w:t>双方一致同意终止本协议的履行时，须订立书面协议，经双方签字盖章后方可生效。</w:t>
      </w:r>
    </w:p>
    <w:p>
      <w:pPr>
        <w:numPr>
          <w:ilvl w:val="0"/>
          <w:numId w:val="47"/>
        </w:numPr>
        <w:spacing w:line="360" w:lineRule="auto"/>
        <w:rPr>
          <w:rFonts w:hint="eastAsia"/>
          <w:color w:val="000000"/>
          <w:szCs w:val="21"/>
        </w:rPr>
      </w:pPr>
      <w:r>
        <w:rPr>
          <w:rFonts w:ascii="宋体" w:hAnsi="宋体"/>
          <w:szCs w:val="21"/>
        </w:rPr>
        <w:t>适用的法律及争议的解决</w:t>
      </w:r>
    </w:p>
    <w:p>
      <w:pPr>
        <w:numPr>
          <w:ilvl w:val="1"/>
          <w:numId w:val="53"/>
        </w:numPr>
        <w:spacing w:line="360" w:lineRule="auto"/>
        <w:rPr>
          <w:rFonts w:hint="eastAsia"/>
          <w:color w:val="000000"/>
          <w:szCs w:val="21"/>
        </w:rPr>
      </w:pPr>
      <w:r>
        <w:rPr>
          <w:color w:val="000000"/>
          <w:szCs w:val="21"/>
        </w:rPr>
        <w:t>本协议适用中华人民共和国的法律。</w:t>
      </w:r>
    </w:p>
    <w:p>
      <w:pPr>
        <w:numPr>
          <w:ilvl w:val="1"/>
          <w:numId w:val="53"/>
        </w:numPr>
        <w:spacing w:line="360" w:lineRule="auto"/>
        <w:rPr>
          <w:rFonts w:hint="eastAsia"/>
          <w:color w:val="000000"/>
          <w:szCs w:val="21"/>
        </w:rPr>
      </w:pPr>
      <w:r>
        <w:rPr>
          <w:color w:val="000000"/>
          <w:szCs w:val="21"/>
        </w:rPr>
        <w:t>凡因履行本协议所发生的或与本协议有关的一切争议双方应当通过友好协商解决；如协商不成，任何一方都有权提起诉讼。</w:t>
      </w:r>
    </w:p>
    <w:p>
      <w:pPr>
        <w:numPr>
          <w:ilvl w:val="0"/>
          <w:numId w:val="47"/>
        </w:numPr>
        <w:spacing w:line="360" w:lineRule="auto"/>
        <w:rPr>
          <w:rFonts w:hint="eastAsia"/>
          <w:color w:val="000000"/>
          <w:szCs w:val="21"/>
        </w:rPr>
      </w:pPr>
      <w:r>
        <w:rPr>
          <w:rFonts w:ascii="宋体" w:hAnsi="宋体"/>
          <w:szCs w:val="21"/>
        </w:rPr>
        <w:t>协议的生效及其他</w:t>
      </w:r>
    </w:p>
    <w:p>
      <w:pPr>
        <w:spacing w:line="360" w:lineRule="auto"/>
        <w:ind w:left="227" w:leftChars="108" w:firstLine="420" w:firstLineChars="200"/>
        <w:rPr>
          <w:rFonts w:hint="eastAsia"/>
          <w:color w:val="000000"/>
          <w:szCs w:val="21"/>
        </w:rPr>
      </w:pPr>
      <w:r>
        <w:rPr>
          <w:color w:val="000000"/>
          <w:szCs w:val="21"/>
        </w:rPr>
        <w:t>本协议经双方签字盖章后生效，本协议一式三份，</w:t>
      </w:r>
      <w:r>
        <w:rPr>
          <w:rFonts w:hint="eastAsia"/>
          <w:szCs w:val="21"/>
        </w:rPr>
        <w:t>出让方</w:t>
      </w:r>
      <w:r>
        <w:rPr>
          <w:color w:val="000000"/>
          <w:szCs w:val="21"/>
        </w:rPr>
        <w:t>持一份，</w:t>
      </w:r>
      <w:r>
        <w:rPr>
          <w:rFonts w:hint="eastAsia"/>
          <w:szCs w:val="21"/>
        </w:rPr>
        <w:t>受让方</w:t>
      </w:r>
      <w:r>
        <w:rPr>
          <w:color w:val="000000"/>
          <w:szCs w:val="21"/>
        </w:rPr>
        <w:t>持一份，报审批机关一份</w:t>
      </w:r>
      <w:r>
        <w:rPr>
          <w:rFonts w:hint="eastAsia"/>
          <w:color w:val="000000"/>
          <w:szCs w:val="21"/>
        </w:rPr>
        <w:t>。</w:t>
      </w:r>
    </w:p>
    <w:p>
      <w:pPr>
        <w:spacing w:line="360" w:lineRule="auto"/>
        <w:rPr>
          <w:rFonts w:hint="eastAsia"/>
          <w:color w:val="000000"/>
          <w:szCs w:val="21"/>
        </w:rPr>
      </w:pPr>
    </w:p>
    <w:p>
      <w:pPr>
        <w:spacing w:line="360" w:lineRule="auto"/>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szCs w:val="21"/>
        </w:rPr>
      </w:pPr>
      <w:r>
        <w:rPr>
          <w:rFonts w:hint="eastAsia"/>
          <w:szCs w:val="21"/>
        </w:rPr>
        <w:t xml:space="preserve">出让方：                                  受让方： </w:t>
      </w:r>
    </w:p>
    <w:p>
      <w:pPr>
        <w:spacing w:line="360" w:lineRule="auto"/>
        <w:rPr>
          <w:rFonts w:hint="eastAsia"/>
          <w:szCs w:val="21"/>
        </w:rPr>
      </w:pPr>
      <w:r>
        <w:rPr>
          <w:rFonts w:hint="eastAsia"/>
          <w:szCs w:val="21"/>
        </w:rPr>
        <w:t xml:space="preserve">      </w:t>
      </w:r>
    </w:p>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 xml:space="preserve">年  月  日                            　　　　年  月  日  </w:t>
      </w:r>
    </w:p>
    <w:p>
      <w:pPr>
        <w:pStyle w:val="4"/>
        <w:numPr>
          <w:ilvl w:val="0"/>
          <w:numId w:val="0"/>
        </w:numPr>
        <w:spacing w:line="360" w:lineRule="auto"/>
        <w:ind w:left="360"/>
        <w:rPr>
          <w:rFonts w:hint="eastAsia"/>
        </w:rPr>
      </w:pPr>
      <w:r>
        <w:br w:type="page"/>
      </w:r>
      <w:bookmarkStart w:id="20" w:name="_Toc60141884"/>
      <w:r>
        <w:rPr>
          <w:rFonts w:hint="eastAsia"/>
        </w:rPr>
        <w:t>附录四：股权转让协议（业绩股票）</w:t>
      </w:r>
      <w:bookmarkEnd w:id="20"/>
    </w:p>
    <w:p>
      <w:pPr>
        <w:spacing w:line="360" w:lineRule="auto"/>
        <w:ind w:firstLine="210" w:firstLineChars="100"/>
        <w:rPr>
          <w:rFonts w:hint="eastAsia"/>
          <w:szCs w:val="21"/>
        </w:rPr>
      </w:pPr>
      <w:r>
        <w:rPr>
          <w:rFonts w:hint="eastAsia"/>
          <w:szCs w:val="21"/>
        </w:rPr>
        <w:t xml:space="preserve">甲方（出让方）： </w:t>
      </w:r>
    </w:p>
    <w:p>
      <w:pPr>
        <w:spacing w:line="360" w:lineRule="auto"/>
        <w:ind w:firstLine="210" w:firstLineChars="100"/>
        <w:rPr>
          <w:rFonts w:hint="eastAsia"/>
          <w:szCs w:val="21"/>
        </w:rPr>
      </w:pPr>
      <w:r>
        <w:rPr>
          <w:rFonts w:hint="eastAsia"/>
          <w:szCs w:val="21"/>
        </w:rPr>
        <w:t xml:space="preserve">乙方（受让方）： </w:t>
      </w:r>
    </w:p>
    <w:p>
      <w:pPr>
        <w:spacing w:line="360" w:lineRule="auto"/>
        <w:ind w:left="227" w:firstLine="420"/>
        <w:rPr>
          <w:rFonts w:hint="eastAsia"/>
          <w:szCs w:val="21"/>
        </w:rPr>
      </w:pPr>
      <w:r>
        <w:rPr>
          <w:rFonts w:hint="eastAsia"/>
          <w:szCs w:val="21"/>
        </w:rPr>
        <w:t>双方经过友好协商，就鼎视通软件技术有限公司股权转让，达成协议如下：</w:t>
      </w:r>
    </w:p>
    <w:p>
      <w:pPr>
        <w:numPr>
          <w:ilvl w:val="0"/>
          <w:numId w:val="54"/>
        </w:numPr>
        <w:spacing w:line="360" w:lineRule="auto"/>
        <w:rPr>
          <w:rFonts w:hint="eastAsia" w:ascii="宋体" w:hAnsi="宋体"/>
          <w:szCs w:val="21"/>
        </w:rPr>
      </w:pPr>
      <w:r>
        <w:rPr>
          <w:rFonts w:ascii="宋体" w:hAnsi="宋体"/>
          <w:szCs w:val="21"/>
        </w:rPr>
        <w:t>转让标的</w:t>
      </w:r>
    </w:p>
    <w:p>
      <w:pPr>
        <w:numPr>
          <w:ilvl w:val="1"/>
          <w:numId w:val="55"/>
        </w:numPr>
        <w:spacing w:line="360" w:lineRule="auto"/>
        <w:rPr>
          <w:rFonts w:hint="eastAsia" w:ascii="宋体" w:hAnsi="宋体"/>
          <w:szCs w:val="21"/>
        </w:rPr>
      </w:pPr>
      <w:r>
        <w:rPr>
          <w:rFonts w:hint="eastAsia"/>
          <w:color w:val="000000"/>
          <w:szCs w:val="21"/>
        </w:rPr>
        <w:t>转让方</w:t>
      </w:r>
      <w:r>
        <w:rPr>
          <w:color w:val="000000"/>
          <w:szCs w:val="21"/>
        </w:rPr>
        <w:t>将其持有的</w:t>
      </w:r>
      <w:r>
        <w:rPr>
          <w:rFonts w:hint="eastAsia"/>
          <w:szCs w:val="21"/>
        </w:rPr>
        <w:t>鼎视通软件技术有限公司</w:t>
      </w:r>
      <w:r>
        <w:rPr>
          <w:rFonts w:hint="eastAsia"/>
          <w:color w:val="000000"/>
          <w:szCs w:val="21"/>
        </w:rPr>
        <w:t>_____%</w:t>
      </w:r>
      <w:r>
        <w:rPr>
          <w:color w:val="000000"/>
          <w:szCs w:val="21"/>
        </w:rPr>
        <w:t>的股权</w:t>
      </w:r>
      <w:r>
        <w:rPr>
          <w:rFonts w:hint="eastAsia"/>
          <w:color w:val="000000"/>
          <w:szCs w:val="21"/>
        </w:rPr>
        <w:t>无偿转让给受让方。</w:t>
      </w:r>
    </w:p>
    <w:p>
      <w:pPr>
        <w:numPr>
          <w:ilvl w:val="1"/>
          <w:numId w:val="55"/>
        </w:numPr>
        <w:spacing w:line="360" w:lineRule="auto"/>
        <w:rPr>
          <w:rFonts w:hint="eastAsia" w:ascii="宋体" w:hAnsi="宋体"/>
          <w:szCs w:val="21"/>
        </w:rPr>
      </w:pPr>
      <w:r>
        <w:rPr>
          <w:rFonts w:hint="eastAsia"/>
          <w:color w:val="000000"/>
          <w:szCs w:val="21"/>
        </w:rPr>
        <w:t>受让方</w:t>
      </w:r>
      <w:r>
        <w:rPr>
          <w:color w:val="000000"/>
          <w:szCs w:val="21"/>
        </w:rPr>
        <w:t>同意接受上述股权的转让</w:t>
      </w:r>
      <w:r>
        <w:rPr>
          <w:rFonts w:hint="eastAsia"/>
          <w:color w:val="000000"/>
          <w:szCs w:val="21"/>
        </w:rPr>
        <w:t>。</w:t>
      </w:r>
    </w:p>
    <w:p>
      <w:pPr>
        <w:numPr>
          <w:ilvl w:val="1"/>
          <w:numId w:val="55"/>
        </w:numPr>
        <w:spacing w:line="360" w:lineRule="auto"/>
        <w:rPr>
          <w:rFonts w:hint="eastAsia" w:ascii="宋体" w:hAnsi="宋体"/>
          <w:szCs w:val="21"/>
        </w:rPr>
      </w:pPr>
      <w:r>
        <w:rPr>
          <w:rFonts w:hint="eastAsia"/>
          <w:color w:val="000000"/>
          <w:szCs w:val="21"/>
        </w:rPr>
        <w:t>本次转让方向受让方转让的股权定义为</w:t>
      </w:r>
      <w:r>
        <w:rPr>
          <w:rFonts w:hint="eastAsia" w:ascii="宋体" w:hAnsi="宋体"/>
          <w:szCs w:val="21"/>
        </w:rPr>
        <w:t>业绩股票。</w:t>
      </w:r>
    </w:p>
    <w:p>
      <w:pPr>
        <w:numPr>
          <w:ilvl w:val="0"/>
          <w:numId w:val="54"/>
        </w:numPr>
        <w:spacing w:line="360" w:lineRule="auto"/>
        <w:rPr>
          <w:rFonts w:hint="eastAsia" w:ascii="宋体" w:hAnsi="宋体"/>
          <w:szCs w:val="21"/>
        </w:rPr>
      </w:pPr>
      <w:r>
        <w:rPr>
          <w:rFonts w:hint="eastAsia" w:ascii="宋体" w:hAnsi="宋体"/>
          <w:szCs w:val="21"/>
        </w:rPr>
        <w:t>业绩股票的权利</w:t>
      </w:r>
    </w:p>
    <w:p>
      <w:pPr>
        <w:numPr>
          <w:ilvl w:val="1"/>
          <w:numId w:val="56"/>
        </w:numPr>
        <w:spacing w:line="360" w:lineRule="auto"/>
        <w:rPr>
          <w:rFonts w:hint="eastAsia"/>
          <w:color w:val="000000"/>
          <w:szCs w:val="21"/>
        </w:rPr>
      </w:pPr>
      <w:r>
        <w:rPr>
          <w:rFonts w:hint="eastAsia"/>
          <w:color w:val="000000"/>
          <w:szCs w:val="21"/>
        </w:rPr>
        <w:t>业绩股在持有期间只享有分红权和表决权，没有出让权和处置权。</w:t>
      </w:r>
    </w:p>
    <w:p>
      <w:pPr>
        <w:numPr>
          <w:ilvl w:val="1"/>
          <w:numId w:val="56"/>
        </w:numPr>
        <w:spacing w:line="360" w:lineRule="auto"/>
        <w:rPr>
          <w:rFonts w:hint="eastAsia"/>
          <w:color w:val="000000"/>
          <w:szCs w:val="21"/>
        </w:rPr>
      </w:pPr>
      <w:r>
        <w:rPr>
          <w:rFonts w:hint="eastAsia"/>
          <w:color w:val="000000"/>
          <w:szCs w:val="21"/>
        </w:rPr>
        <w:t>业绩股持有两年及两年以上，业绩股持有者提出申请，董事会审核，股东会审批，方才可以转化为普通股。</w:t>
      </w:r>
    </w:p>
    <w:p>
      <w:pPr>
        <w:numPr>
          <w:ilvl w:val="1"/>
          <w:numId w:val="56"/>
        </w:numPr>
        <w:spacing w:line="360" w:lineRule="auto"/>
        <w:rPr>
          <w:rFonts w:hint="eastAsia"/>
          <w:color w:val="000000"/>
          <w:szCs w:val="21"/>
        </w:rPr>
      </w:pPr>
      <w:r>
        <w:rPr>
          <w:rFonts w:hint="eastAsia"/>
          <w:color w:val="000000"/>
          <w:szCs w:val="21"/>
        </w:rPr>
        <w:t>业绩股转化成为普通股之后，要办理股权变更手续。</w:t>
      </w:r>
    </w:p>
    <w:p>
      <w:pPr>
        <w:numPr>
          <w:ilvl w:val="0"/>
          <w:numId w:val="54"/>
        </w:numPr>
        <w:spacing w:line="360" w:lineRule="auto"/>
        <w:rPr>
          <w:rFonts w:hint="eastAsia"/>
          <w:color w:val="000000"/>
          <w:szCs w:val="21"/>
        </w:rPr>
      </w:pPr>
      <w:r>
        <w:rPr>
          <w:rFonts w:hint="eastAsia" w:ascii="宋体" w:hAnsi="宋体"/>
          <w:szCs w:val="21"/>
        </w:rPr>
        <w:t>业绩股的退出</w:t>
      </w:r>
    </w:p>
    <w:p>
      <w:pPr>
        <w:numPr>
          <w:ilvl w:val="1"/>
          <w:numId w:val="57"/>
        </w:numPr>
        <w:spacing w:line="360" w:lineRule="auto"/>
        <w:rPr>
          <w:rFonts w:hint="eastAsia"/>
          <w:color w:val="000000"/>
          <w:szCs w:val="21"/>
        </w:rPr>
      </w:pPr>
      <w:r>
        <w:rPr>
          <w:rFonts w:hint="eastAsia"/>
          <w:color w:val="000000"/>
          <w:szCs w:val="21"/>
        </w:rPr>
        <w:t>已经转化成为普通股票的业绩股，退出方式和普通股相同。</w:t>
      </w:r>
    </w:p>
    <w:p>
      <w:pPr>
        <w:numPr>
          <w:ilvl w:val="1"/>
          <w:numId w:val="57"/>
        </w:numPr>
        <w:spacing w:line="360" w:lineRule="auto"/>
        <w:rPr>
          <w:rFonts w:hint="eastAsia"/>
          <w:color w:val="000000"/>
          <w:szCs w:val="21"/>
        </w:rPr>
      </w:pPr>
      <w:r>
        <w:rPr>
          <w:rFonts w:hint="eastAsia"/>
          <w:color w:val="000000"/>
          <w:szCs w:val="21"/>
        </w:rPr>
        <w:t>没有转化成为普通股的业绩股，退出方式由董事会提出，股东会审批。</w:t>
      </w:r>
    </w:p>
    <w:p>
      <w:pPr>
        <w:numPr>
          <w:ilvl w:val="0"/>
          <w:numId w:val="54"/>
        </w:numPr>
        <w:spacing w:line="360" w:lineRule="auto"/>
        <w:rPr>
          <w:rFonts w:hint="eastAsia"/>
          <w:color w:val="000000"/>
          <w:szCs w:val="21"/>
        </w:rPr>
      </w:pPr>
      <w:r>
        <w:rPr>
          <w:rFonts w:ascii="宋体" w:hAnsi="宋体"/>
          <w:szCs w:val="21"/>
        </w:rPr>
        <w:t>违约责任</w:t>
      </w:r>
    </w:p>
    <w:p>
      <w:pPr>
        <w:numPr>
          <w:ilvl w:val="1"/>
          <w:numId w:val="58"/>
        </w:numPr>
        <w:spacing w:line="360" w:lineRule="auto"/>
        <w:rPr>
          <w:rFonts w:hint="eastAsia"/>
          <w:color w:val="000000"/>
          <w:szCs w:val="21"/>
        </w:rPr>
      </w:pPr>
      <w:r>
        <w:rPr>
          <w:color w:val="000000"/>
          <w:szCs w:val="21"/>
        </w:rPr>
        <w:t>本协议正式签订后，任何一方不履行或不完全履行本协议约定条款的，即构成违约。违约方应当负责赔偿其违约行为给守约方造成的一切直接经济损失。</w:t>
      </w:r>
    </w:p>
    <w:p>
      <w:pPr>
        <w:numPr>
          <w:ilvl w:val="1"/>
          <w:numId w:val="58"/>
        </w:numPr>
        <w:spacing w:line="360" w:lineRule="auto"/>
        <w:rPr>
          <w:rFonts w:hint="eastAsia"/>
          <w:color w:val="000000"/>
          <w:szCs w:val="21"/>
        </w:rPr>
      </w:pPr>
      <w:r>
        <w:rPr>
          <w:color w:val="000000"/>
          <w:szCs w:val="21"/>
        </w:rPr>
        <w:t>任何一方违约时，守约方有权要求违约方继续履行本协议。</w:t>
      </w:r>
    </w:p>
    <w:p>
      <w:pPr>
        <w:numPr>
          <w:ilvl w:val="0"/>
          <w:numId w:val="54"/>
        </w:numPr>
        <w:spacing w:line="360" w:lineRule="auto"/>
        <w:rPr>
          <w:rFonts w:hint="eastAsia"/>
          <w:color w:val="000000"/>
          <w:szCs w:val="21"/>
        </w:rPr>
      </w:pPr>
      <w:r>
        <w:rPr>
          <w:rFonts w:ascii="宋体" w:hAnsi="宋体"/>
          <w:szCs w:val="21"/>
        </w:rPr>
        <w:t>协议的变更和解除</w:t>
      </w:r>
    </w:p>
    <w:p>
      <w:pPr>
        <w:numPr>
          <w:ilvl w:val="1"/>
          <w:numId w:val="59"/>
        </w:numPr>
        <w:spacing w:line="360" w:lineRule="auto"/>
        <w:rPr>
          <w:rFonts w:hint="eastAsia"/>
          <w:color w:val="000000"/>
          <w:szCs w:val="21"/>
        </w:rPr>
      </w:pPr>
      <w:r>
        <w:rPr>
          <w:color w:val="000000"/>
          <w:szCs w:val="21"/>
        </w:rPr>
        <w:t>本协议的变更，必须经双方共同协商，并订立书面变更协议。如协商不能达成一致，本协议继续有效。</w:t>
      </w:r>
    </w:p>
    <w:p>
      <w:pPr>
        <w:numPr>
          <w:ilvl w:val="1"/>
          <w:numId w:val="59"/>
        </w:numPr>
        <w:spacing w:line="360" w:lineRule="auto"/>
        <w:rPr>
          <w:rFonts w:hint="eastAsia"/>
          <w:color w:val="000000"/>
          <w:szCs w:val="21"/>
        </w:rPr>
      </w:pPr>
      <w:r>
        <w:rPr>
          <w:color w:val="000000"/>
          <w:szCs w:val="21"/>
        </w:rPr>
        <w:t>任何一方违约时，守约一方有权要求违约方继续履行本协议。</w:t>
      </w:r>
    </w:p>
    <w:p>
      <w:pPr>
        <w:numPr>
          <w:ilvl w:val="1"/>
          <w:numId w:val="59"/>
        </w:numPr>
        <w:spacing w:line="360" w:lineRule="auto"/>
        <w:rPr>
          <w:rFonts w:hint="eastAsia"/>
          <w:color w:val="000000"/>
          <w:szCs w:val="21"/>
        </w:rPr>
      </w:pPr>
      <w:r>
        <w:rPr>
          <w:color w:val="000000"/>
          <w:szCs w:val="21"/>
        </w:rPr>
        <w:t>双方一致同意终止本协议的履行时，须订立书面协议，经双方签字盖章后方可生效。</w:t>
      </w:r>
    </w:p>
    <w:p>
      <w:pPr>
        <w:numPr>
          <w:ilvl w:val="0"/>
          <w:numId w:val="54"/>
        </w:numPr>
        <w:spacing w:line="360" w:lineRule="auto"/>
        <w:rPr>
          <w:rFonts w:hint="eastAsia"/>
          <w:color w:val="000000"/>
          <w:szCs w:val="21"/>
        </w:rPr>
      </w:pPr>
      <w:r>
        <w:rPr>
          <w:rFonts w:ascii="宋体" w:hAnsi="宋体"/>
          <w:szCs w:val="21"/>
        </w:rPr>
        <w:t>适用的法律及争议的解决</w:t>
      </w:r>
    </w:p>
    <w:p>
      <w:pPr>
        <w:numPr>
          <w:ilvl w:val="1"/>
          <w:numId w:val="60"/>
        </w:numPr>
        <w:spacing w:line="360" w:lineRule="auto"/>
        <w:rPr>
          <w:rFonts w:hint="eastAsia"/>
          <w:color w:val="000000"/>
          <w:szCs w:val="21"/>
        </w:rPr>
      </w:pPr>
      <w:r>
        <w:rPr>
          <w:color w:val="000000"/>
          <w:szCs w:val="21"/>
        </w:rPr>
        <w:t>本协议适用中华人民共和国的法律。</w:t>
      </w:r>
    </w:p>
    <w:p>
      <w:pPr>
        <w:numPr>
          <w:ilvl w:val="1"/>
          <w:numId w:val="60"/>
        </w:numPr>
        <w:spacing w:line="360" w:lineRule="auto"/>
        <w:rPr>
          <w:rFonts w:hint="eastAsia"/>
          <w:color w:val="000000"/>
          <w:szCs w:val="21"/>
        </w:rPr>
      </w:pPr>
      <w:r>
        <w:rPr>
          <w:color w:val="000000"/>
          <w:szCs w:val="21"/>
        </w:rPr>
        <w:t>凡因履行本协议所发生的或与本协议有关的一切争议双方应当通过友好协商解决；如协商不成，任何一方都有权提起诉讼</w:t>
      </w:r>
    </w:p>
    <w:p>
      <w:pPr>
        <w:numPr>
          <w:ilvl w:val="0"/>
          <w:numId w:val="54"/>
        </w:numPr>
        <w:spacing w:line="360" w:lineRule="auto"/>
        <w:rPr>
          <w:rFonts w:hint="eastAsia"/>
          <w:color w:val="000000"/>
          <w:szCs w:val="21"/>
        </w:rPr>
      </w:pPr>
      <w:r>
        <w:rPr>
          <w:rFonts w:ascii="宋体" w:hAnsi="宋体"/>
          <w:szCs w:val="21"/>
        </w:rPr>
        <w:t>协议的生效及其他</w:t>
      </w:r>
    </w:p>
    <w:p>
      <w:pPr>
        <w:spacing w:line="360" w:lineRule="auto"/>
        <w:ind w:left="227" w:leftChars="108" w:firstLine="420" w:firstLineChars="200"/>
        <w:rPr>
          <w:rFonts w:hint="eastAsia"/>
          <w:color w:val="000000"/>
          <w:szCs w:val="21"/>
        </w:rPr>
      </w:pPr>
      <w:r>
        <w:rPr>
          <w:color w:val="000000"/>
          <w:szCs w:val="21"/>
        </w:rPr>
        <w:t>本协议经双方签字盖章后生效，本协议一式三份，</w:t>
      </w:r>
      <w:r>
        <w:rPr>
          <w:rFonts w:hint="eastAsia"/>
          <w:szCs w:val="21"/>
        </w:rPr>
        <w:t>出让方</w:t>
      </w:r>
      <w:r>
        <w:rPr>
          <w:color w:val="000000"/>
          <w:szCs w:val="21"/>
        </w:rPr>
        <w:t>持一份，</w:t>
      </w:r>
      <w:r>
        <w:rPr>
          <w:rFonts w:hint="eastAsia"/>
          <w:szCs w:val="21"/>
        </w:rPr>
        <w:t>受让方</w:t>
      </w:r>
      <w:r>
        <w:rPr>
          <w:color w:val="000000"/>
          <w:szCs w:val="21"/>
        </w:rPr>
        <w:t>持一份，报审批机关一份</w:t>
      </w:r>
      <w:r>
        <w:rPr>
          <w:rFonts w:hint="eastAsia"/>
          <w:color w:val="000000"/>
          <w:szCs w:val="21"/>
        </w:rPr>
        <w:t>。</w:t>
      </w:r>
    </w:p>
    <w:p>
      <w:pPr>
        <w:spacing w:line="360" w:lineRule="auto"/>
        <w:rPr>
          <w:rFonts w:hint="eastAsia"/>
          <w:color w:val="000000"/>
          <w:szCs w:val="21"/>
        </w:rPr>
      </w:pPr>
    </w:p>
    <w:p>
      <w:pPr>
        <w:spacing w:line="360" w:lineRule="auto"/>
        <w:rPr>
          <w:rFonts w:hint="eastAsia" w:ascii="宋体" w:hAnsi="宋体"/>
          <w:szCs w:val="21"/>
        </w:rPr>
      </w:pPr>
      <w:r>
        <w:rPr>
          <w:rFonts w:hint="eastAsia" w:ascii="宋体" w:hAnsi="宋体"/>
          <w:szCs w:val="21"/>
        </w:rPr>
        <w:t xml:space="preserve">      </w:t>
      </w:r>
    </w:p>
    <w:p>
      <w:pPr>
        <w:spacing w:line="360" w:lineRule="auto"/>
        <w:ind w:firstLine="420" w:firstLineChars="200"/>
        <w:rPr>
          <w:rFonts w:hint="eastAsia"/>
          <w:szCs w:val="21"/>
        </w:rPr>
      </w:pPr>
      <w:r>
        <w:rPr>
          <w:rFonts w:hint="eastAsia"/>
          <w:szCs w:val="21"/>
        </w:rPr>
        <w:t xml:space="preserve">出让方：                                  受让方： </w:t>
      </w:r>
    </w:p>
    <w:p>
      <w:pPr>
        <w:spacing w:line="360" w:lineRule="auto"/>
        <w:rPr>
          <w:rFonts w:hint="eastAsia"/>
          <w:szCs w:val="21"/>
        </w:rPr>
      </w:pPr>
      <w:r>
        <w:rPr>
          <w:rFonts w:hint="eastAsia"/>
          <w:szCs w:val="21"/>
        </w:rPr>
        <w:t xml:space="preserve">      </w:t>
      </w:r>
    </w:p>
    <w:p>
      <w:pPr>
        <w:spacing w:line="360" w:lineRule="auto"/>
        <w:ind w:firstLine="630" w:firstLineChars="300"/>
        <w:rPr>
          <w:rFonts w:hint="eastAsia"/>
          <w:szCs w:val="21"/>
        </w:rPr>
      </w:pPr>
    </w:p>
    <w:p>
      <w:pPr>
        <w:rPr>
          <w:rFonts w:hint="eastAsia"/>
          <w:szCs w:val="21"/>
        </w:rPr>
      </w:pPr>
      <w:r>
        <w:rPr>
          <w:rFonts w:hint="eastAsia"/>
          <w:szCs w:val="21"/>
        </w:rPr>
        <w:t xml:space="preserve">年  月  日                            　　　　年  月  日  </w:t>
      </w:r>
    </w:p>
    <w:sectPr>
      <w:headerReference r:id="rId7" w:type="default"/>
      <w:footerReference r:id="rId8" w:type="default"/>
      <w:pgSz w:w="11906" w:h="16838"/>
      <w:pgMar w:top="1730" w:right="1800" w:bottom="1440" w:left="1800" w:header="851" w:footer="83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B620B"/>
    <w:multiLevelType w:val="multilevel"/>
    <w:tmpl w:val="005B620B"/>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60B793B"/>
    <w:multiLevelType w:val="multilevel"/>
    <w:tmpl w:val="060B793B"/>
    <w:lvl w:ilvl="0" w:tentative="0">
      <w:start w:val="1"/>
      <w:numFmt w:val="chineseCountingThousand"/>
      <w:pStyle w:val="4"/>
      <w:lvlText w:val="第%1章"/>
      <w:lvlJc w:val="left"/>
      <w:pPr>
        <w:tabs>
          <w:tab w:val="left" w:pos="108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B626B7D"/>
    <w:multiLevelType w:val="multilevel"/>
    <w:tmpl w:val="0B626B7D"/>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17B108AB"/>
    <w:multiLevelType w:val="multilevel"/>
    <w:tmpl w:val="17B108AB"/>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1ECB1566"/>
    <w:multiLevelType w:val="multilevel"/>
    <w:tmpl w:val="1ECB1566"/>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2277750F"/>
    <w:multiLevelType w:val="multilevel"/>
    <w:tmpl w:val="2277750F"/>
    <w:lvl w:ilvl="0" w:tentative="0">
      <w:start w:val="1"/>
      <w:numFmt w:val="chineseCountingThousand"/>
      <w:pStyle w:val="2"/>
      <w:lvlText w:val="第%1章 "/>
      <w:lvlJc w:val="left"/>
      <w:pPr>
        <w:tabs>
          <w:tab w:val="left" w:pos="1440"/>
        </w:tabs>
        <w:ind w:left="7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4737D78"/>
    <w:multiLevelType w:val="multilevel"/>
    <w:tmpl w:val="24737D78"/>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2BC7254A"/>
    <w:multiLevelType w:val="multilevel"/>
    <w:tmpl w:val="2BC7254A"/>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8">
    <w:nsid w:val="30F142FD"/>
    <w:multiLevelType w:val="multilevel"/>
    <w:tmpl w:val="30F142FD"/>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40DC0603"/>
    <w:multiLevelType w:val="multilevel"/>
    <w:tmpl w:val="40DC0603"/>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47223402"/>
    <w:multiLevelType w:val="multilevel"/>
    <w:tmpl w:val="47223402"/>
    <w:lvl w:ilvl="0" w:tentative="0">
      <w:start w:val="1"/>
      <w:numFmt w:val="chineseCountingThousand"/>
      <w:pStyle w:val="6"/>
      <w:lvlText w:val="第%1条"/>
      <w:lvlJc w:val="left"/>
      <w:pPr>
        <w:tabs>
          <w:tab w:val="left" w:pos="1287"/>
        </w:tabs>
        <w:ind w:left="0" w:firstLine="567"/>
      </w:pPr>
      <w:rPr>
        <w:rFonts w:hint="eastAsia"/>
        <w:b/>
        <w:i w:val="0"/>
      </w:rPr>
    </w:lvl>
    <w:lvl w:ilvl="1" w:tentative="0">
      <w:start w:val="1"/>
      <w:numFmt w:val="decimalZero"/>
      <w:isLgl/>
      <w:lvlText w:val="%1第.%2"/>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1">
    <w:nsid w:val="49CA21DB"/>
    <w:multiLevelType w:val="multilevel"/>
    <w:tmpl w:val="49CA21DB"/>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4CD37296"/>
    <w:multiLevelType w:val="multilevel"/>
    <w:tmpl w:val="4CD37296"/>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51B002CC"/>
    <w:multiLevelType w:val="multilevel"/>
    <w:tmpl w:val="51B002CC"/>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531D34A8"/>
    <w:multiLevelType w:val="multilevel"/>
    <w:tmpl w:val="531D34A8"/>
    <w:lvl w:ilvl="0" w:tentative="0">
      <w:start w:val="1"/>
      <w:numFmt w:val="upperRoman"/>
      <w:lvlText w:val="%1."/>
      <w:lvlJc w:val="left"/>
      <w:pPr>
        <w:tabs>
          <w:tab w:val="left" w:pos="425"/>
        </w:tabs>
        <w:ind w:left="425" w:hanging="425"/>
      </w:pPr>
      <w:rPr>
        <w:rFonts w:hint="eastAsia"/>
      </w:rPr>
    </w:lvl>
    <w:lvl w:ilvl="1" w:tentative="0">
      <w:start w:val="1"/>
      <w:numFmt w:val="upperLetter"/>
      <w:lvlText w:val="%2."/>
      <w:lvlJc w:val="left"/>
      <w:pPr>
        <w:tabs>
          <w:tab w:val="left" w:pos="851"/>
        </w:tabs>
        <w:ind w:left="851" w:hanging="426"/>
      </w:pPr>
      <w:rPr>
        <w:rFonts w:hint="eastAsia"/>
      </w:rPr>
    </w:lvl>
    <w:lvl w:ilvl="2" w:tentative="0">
      <w:start w:val="1"/>
      <w:numFmt w:val="decimal"/>
      <w:pStyle w:val="3"/>
      <w:lvlText w:val="%3."/>
      <w:lvlJc w:val="left"/>
      <w:pPr>
        <w:tabs>
          <w:tab w:val="left" w:pos="2061"/>
        </w:tabs>
        <w:ind w:left="1276" w:firstLine="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5">
    <w:nsid w:val="54435BB0"/>
    <w:multiLevelType w:val="multilevel"/>
    <w:tmpl w:val="54435BB0"/>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545E55FE"/>
    <w:multiLevelType w:val="multilevel"/>
    <w:tmpl w:val="545E55FE"/>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54DD6078"/>
    <w:multiLevelType w:val="multilevel"/>
    <w:tmpl w:val="54DD6078"/>
    <w:lvl w:ilvl="0" w:tentative="0">
      <w:start w:val="1"/>
      <w:numFmt w:val="chineseCountingThousand"/>
      <w:pStyle w:val="7"/>
      <w:lvlText w:val="（%1）"/>
      <w:lvlJc w:val="left"/>
      <w:pPr>
        <w:tabs>
          <w:tab w:val="left" w:pos="1701"/>
        </w:tabs>
        <w:ind w:left="1701" w:hanging="850"/>
      </w:pPr>
      <w:rPr>
        <w:rFonts w:hint="eastAsia" w:eastAsia="宋体"/>
        <w:b w:val="0"/>
        <w:i w:val="0"/>
        <w:sz w:val="21"/>
        <w:szCs w:val="21"/>
      </w:rPr>
    </w:lvl>
    <w:lvl w:ilvl="1" w:tentative="0">
      <w:start w:val="1"/>
      <w:numFmt w:val="upperLetter"/>
      <w:lvlText w:val="%2."/>
      <w:lvlJc w:val="left"/>
      <w:pPr>
        <w:tabs>
          <w:tab w:val="left" w:pos="851"/>
        </w:tabs>
        <w:ind w:left="851" w:hanging="426"/>
      </w:pPr>
      <w:rPr>
        <w:rFonts w:hint="eastAsia"/>
      </w:rPr>
    </w:lvl>
    <w:lvl w:ilvl="2" w:tentative="0">
      <w:start w:val="1"/>
      <w:numFmt w:val="decimal"/>
      <w:lvlText w:val="%3."/>
      <w:lvlJc w:val="left"/>
      <w:pPr>
        <w:tabs>
          <w:tab w:val="left" w:pos="2061"/>
        </w:tabs>
        <w:ind w:left="1276" w:firstLine="425"/>
      </w:pPr>
      <w:rPr>
        <w:rFonts w:hint="eastAsia"/>
      </w:rPr>
    </w:lvl>
    <w:lvl w:ilvl="3" w:tentative="0">
      <w:start w:val="1"/>
      <w:numFmt w:val="lowerLetter"/>
      <w:lvlText w:val="%4."/>
      <w:lvlJc w:val="left"/>
      <w:pPr>
        <w:tabs>
          <w:tab w:val="left" w:pos="1559"/>
        </w:tabs>
        <w:ind w:left="1559" w:hanging="283"/>
      </w:pPr>
      <w:rPr>
        <w:rFonts w:hint="eastAsia"/>
      </w:rPr>
    </w:lvl>
    <w:lvl w:ilvl="4" w:tentative="0">
      <w:start w:val="1"/>
      <w:numFmt w:val="decimal"/>
      <w:lvlText w:val="%5."/>
      <w:lvlJc w:val="left"/>
      <w:pPr>
        <w:tabs>
          <w:tab w:val="left" w:pos="1984"/>
        </w:tabs>
        <w:ind w:left="1984" w:hanging="425"/>
      </w:pPr>
      <w:rPr>
        <w:rFonts w:hint="eastAsia"/>
      </w:rPr>
    </w:lvl>
    <w:lvl w:ilvl="5" w:tentative="0">
      <w:start w:val="1"/>
      <w:numFmt w:val="lowerLetter"/>
      <w:lvlText w:val="%6."/>
      <w:lvlJc w:val="left"/>
      <w:pPr>
        <w:tabs>
          <w:tab w:val="left" w:pos="2409"/>
        </w:tabs>
        <w:ind w:left="2409" w:hanging="425"/>
      </w:pPr>
      <w:rPr>
        <w:rFonts w:hint="eastAsia"/>
      </w:rPr>
    </w:lvl>
    <w:lvl w:ilvl="6" w:tentative="0">
      <w:start w:val="1"/>
      <w:numFmt w:val="lowerRoman"/>
      <w:lvlText w:val="%7."/>
      <w:lvlJc w:val="left"/>
      <w:pPr>
        <w:tabs>
          <w:tab w:val="left" w:pos="2835"/>
        </w:tabs>
        <w:ind w:left="2835" w:hanging="426"/>
      </w:pPr>
      <w:rPr>
        <w:rFonts w:hint="eastAsia"/>
      </w:rPr>
    </w:lvl>
    <w:lvl w:ilvl="7" w:tentative="0">
      <w:start w:val="1"/>
      <w:numFmt w:val="lowerLetter"/>
      <w:lvlText w:val="%8."/>
      <w:lvlJc w:val="left"/>
      <w:pPr>
        <w:tabs>
          <w:tab w:val="left" w:pos="3260"/>
        </w:tabs>
        <w:ind w:left="3260" w:hanging="425"/>
      </w:pPr>
      <w:rPr>
        <w:rFonts w:hint="eastAsia"/>
      </w:rPr>
    </w:lvl>
    <w:lvl w:ilvl="8" w:tentative="0">
      <w:start w:val="1"/>
      <w:numFmt w:val="lowerRoman"/>
      <w:lvlText w:val="%9."/>
      <w:lvlJc w:val="left"/>
      <w:pPr>
        <w:tabs>
          <w:tab w:val="left" w:pos="3685"/>
        </w:tabs>
        <w:ind w:left="3685" w:hanging="425"/>
      </w:pPr>
      <w:rPr>
        <w:rFonts w:hint="eastAsia"/>
      </w:rPr>
    </w:lvl>
  </w:abstractNum>
  <w:abstractNum w:abstractNumId="18">
    <w:nsid w:val="5651375B"/>
    <w:multiLevelType w:val="multilevel"/>
    <w:tmpl w:val="5651375B"/>
    <w:lvl w:ilvl="0" w:tentative="0">
      <w:start w:val="1"/>
      <w:numFmt w:val="bullet"/>
      <w:pStyle w:val="22"/>
      <w:lvlText w:val=""/>
      <w:lvlJc w:val="left"/>
      <w:pPr>
        <w:tabs>
          <w:tab w:val="left" w:pos="721"/>
        </w:tabs>
        <w:ind w:left="-59" w:firstLine="420"/>
      </w:pPr>
      <w:rPr>
        <w:rFonts w:hint="default" w:ascii="Wingdings" w:hAnsi="Wingdings"/>
      </w:rPr>
    </w:lvl>
    <w:lvl w:ilvl="1" w:tentative="0">
      <w:start w:val="1"/>
      <w:numFmt w:val="bullet"/>
      <w:lvlText w:val=""/>
      <w:lvlJc w:val="left"/>
      <w:pPr>
        <w:tabs>
          <w:tab w:val="left" w:pos="1275"/>
        </w:tabs>
        <w:ind w:left="1275" w:hanging="420"/>
      </w:pPr>
      <w:rPr>
        <w:rFonts w:hint="default" w:ascii="Wingdings" w:hAnsi="Wingdings"/>
      </w:rPr>
    </w:lvl>
    <w:lvl w:ilvl="2" w:tentative="0">
      <w:start w:val="1"/>
      <w:numFmt w:val="bullet"/>
      <w:lvlText w:val=""/>
      <w:lvlJc w:val="left"/>
      <w:pPr>
        <w:tabs>
          <w:tab w:val="left" w:pos="1695"/>
        </w:tabs>
        <w:ind w:left="1695" w:hanging="420"/>
      </w:pPr>
      <w:rPr>
        <w:rFonts w:hint="default" w:ascii="Wingdings" w:hAnsi="Wingdings"/>
      </w:rPr>
    </w:lvl>
    <w:lvl w:ilvl="3" w:tentative="0">
      <w:start w:val="1"/>
      <w:numFmt w:val="bullet"/>
      <w:lvlText w:val=""/>
      <w:lvlJc w:val="left"/>
      <w:pPr>
        <w:tabs>
          <w:tab w:val="left" w:pos="2115"/>
        </w:tabs>
        <w:ind w:left="2115" w:hanging="420"/>
      </w:pPr>
      <w:rPr>
        <w:rFonts w:hint="default" w:ascii="Wingdings" w:hAnsi="Wingdings"/>
      </w:rPr>
    </w:lvl>
    <w:lvl w:ilvl="4" w:tentative="0">
      <w:start w:val="1"/>
      <w:numFmt w:val="bullet"/>
      <w:lvlText w:val=""/>
      <w:lvlJc w:val="left"/>
      <w:pPr>
        <w:tabs>
          <w:tab w:val="left" w:pos="2535"/>
        </w:tabs>
        <w:ind w:left="2535" w:hanging="420"/>
      </w:pPr>
      <w:rPr>
        <w:rFonts w:hint="default" w:ascii="Wingdings" w:hAnsi="Wingdings"/>
      </w:rPr>
    </w:lvl>
    <w:lvl w:ilvl="5" w:tentative="0">
      <w:start w:val="1"/>
      <w:numFmt w:val="bullet"/>
      <w:lvlText w:val=""/>
      <w:lvlJc w:val="left"/>
      <w:pPr>
        <w:tabs>
          <w:tab w:val="left" w:pos="2955"/>
        </w:tabs>
        <w:ind w:left="2955" w:hanging="420"/>
      </w:pPr>
      <w:rPr>
        <w:rFonts w:hint="default" w:ascii="Wingdings" w:hAnsi="Wingdings"/>
      </w:rPr>
    </w:lvl>
    <w:lvl w:ilvl="6" w:tentative="0">
      <w:start w:val="1"/>
      <w:numFmt w:val="bullet"/>
      <w:lvlText w:val=""/>
      <w:lvlJc w:val="left"/>
      <w:pPr>
        <w:tabs>
          <w:tab w:val="left" w:pos="3375"/>
        </w:tabs>
        <w:ind w:left="3375" w:hanging="420"/>
      </w:pPr>
      <w:rPr>
        <w:rFonts w:hint="default" w:ascii="Wingdings" w:hAnsi="Wingdings"/>
      </w:rPr>
    </w:lvl>
    <w:lvl w:ilvl="7" w:tentative="0">
      <w:start w:val="1"/>
      <w:numFmt w:val="bullet"/>
      <w:lvlText w:val=""/>
      <w:lvlJc w:val="left"/>
      <w:pPr>
        <w:tabs>
          <w:tab w:val="left" w:pos="3795"/>
        </w:tabs>
        <w:ind w:left="3795" w:hanging="420"/>
      </w:pPr>
      <w:rPr>
        <w:rFonts w:hint="default" w:ascii="Wingdings" w:hAnsi="Wingdings"/>
      </w:rPr>
    </w:lvl>
    <w:lvl w:ilvl="8" w:tentative="0">
      <w:start w:val="1"/>
      <w:numFmt w:val="bullet"/>
      <w:lvlText w:val=""/>
      <w:lvlJc w:val="left"/>
      <w:pPr>
        <w:tabs>
          <w:tab w:val="left" w:pos="4215"/>
        </w:tabs>
        <w:ind w:left="4215" w:hanging="420"/>
      </w:pPr>
      <w:rPr>
        <w:rFonts w:hint="default" w:ascii="Wingdings" w:hAnsi="Wingdings"/>
      </w:rPr>
    </w:lvl>
  </w:abstractNum>
  <w:abstractNum w:abstractNumId="19">
    <w:nsid w:val="5B0E743E"/>
    <w:multiLevelType w:val="multilevel"/>
    <w:tmpl w:val="5B0E743E"/>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60B253BB"/>
    <w:multiLevelType w:val="multilevel"/>
    <w:tmpl w:val="60B253BB"/>
    <w:lvl w:ilvl="0" w:tentative="0">
      <w:start w:val="1"/>
      <w:numFmt w:val="decimal"/>
      <w:pStyle w:val="5"/>
      <w:lvlText w:val="1.%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202"/>
        </w:tabs>
        <w:ind w:left="5102" w:hanging="1700"/>
      </w:pPr>
      <w:rPr>
        <w:rFonts w:hint="eastAsia"/>
      </w:rPr>
    </w:lvl>
  </w:abstractNum>
  <w:abstractNum w:abstractNumId="21">
    <w:nsid w:val="633F2640"/>
    <w:multiLevelType w:val="multilevel"/>
    <w:tmpl w:val="633F2640"/>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6570404D"/>
    <w:multiLevelType w:val="multilevel"/>
    <w:tmpl w:val="6570404D"/>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66226D5B"/>
    <w:multiLevelType w:val="multilevel"/>
    <w:tmpl w:val="66226D5B"/>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C74342"/>
    <w:multiLevelType w:val="multilevel"/>
    <w:tmpl w:val="69C74342"/>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BA32B0E"/>
    <w:multiLevelType w:val="multilevel"/>
    <w:tmpl w:val="6BA32B0E"/>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665B54"/>
    <w:multiLevelType w:val="multilevel"/>
    <w:tmpl w:val="6C665B54"/>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E2845CA"/>
    <w:multiLevelType w:val="multilevel"/>
    <w:tmpl w:val="6E2845CA"/>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8">
    <w:nsid w:val="75EC3D88"/>
    <w:multiLevelType w:val="multilevel"/>
    <w:tmpl w:val="75EC3D88"/>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9">
    <w:nsid w:val="78BF17F3"/>
    <w:multiLevelType w:val="multilevel"/>
    <w:tmpl w:val="78BF17F3"/>
    <w:lvl w:ilvl="0" w:tentative="0">
      <w:start w:val="1"/>
      <w:numFmt w:val="chineseCountingThousand"/>
      <w:lvlText w:val="第%1条"/>
      <w:lvlJc w:val="left"/>
      <w:pPr>
        <w:tabs>
          <w:tab w:val="left" w:pos="1457"/>
        </w:tabs>
        <w:ind w:left="227" w:firstLine="510"/>
      </w:pPr>
      <w:rPr>
        <w:rFonts w:hint="eastAsia"/>
        <w:b/>
        <w:i w:val="0"/>
      </w:rPr>
    </w:lvl>
    <w:lvl w:ilvl="1" w:tentative="0">
      <w:start w:val="1"/>
      <w:numFmt w:val="chineseCountingThousand"/>
      <w:lvlText w:val="（%2）"/>
      <w:lvlJc w:val="left"/>
      <w:pPr>
        <w:tabs>
          <w:tab w:val="left" w:pos="1457"/>
        </w:tabs>
        <w:ind w:left="227" w:firstLine="510"/>
      </w:pPr>
      <w:rPr>
        <w:rFonts w:hint="eastAsia"/>
      </w:rPr>
    </w:lvl>
    <w:lvl w:ilvl="2" w:tentative="0">
      <w:start w:val="1"/>
      <w:numFmt w:val="decimal"/>
      <w:lvlText w:val="%3."/>
      <w:lvlJc w:val="left"/>
      <w:pPr>
        <w:tabs>
          <w:tab w:val="left" w:pos="1211"/>
        </w:tabs>
        <w:ind w:left="227" w:firstLine="624"/>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5"/>
  </w:num>
  <w:num w:numId="2">
    <w:abstractNumId w:val="1"/>
  </w:num>
  <w:num w:numId="3">
    <w:abstractNumId w:val="20"/>
  </w:num>
  <w:num w:numId="4">
    <w:abstractNumId w:val="10"/>
  </w:num>
  <w:num w:numId="5">
    <w:abstractNumId w:val="17"/>
  </w:num>
  <w:num w:numId="6">
    <w:abstractNumId w:val="14"/>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5"/>
  </w:num>
  <w:num w:numId="40">
    <w:abstractNumId w:val="26"/>
  </w:num>
  <w:num w:numId="41">
    <w:abstractNumId w:val="0"/>
  </w:num>
  <w:num w:numId="42">
    <w:abstractNumId w:val="2"/>
  </w:num>
  <w:num w:numId="43">
    <w:abstractNumId w:val="28"/>
  </w:num>
  <w:num w:numId="44">
    <w:abstractNumId w:val="22"/>
  </w:num>
  <w:num w:numId="45">
    <w:abstractNumId w:val="16"/>
  </w:num>
  <w:num w:numId="46">
    <w:abstractNumId w:val="29"/>
  </w:num>
  <w:num w:numId="47">
    <w:abstractNumId w:val="3"/>
  </w:num>
  <w:num w:numId="48">
    <w:abstractNumId w:val="27"/>
  </w:num>
  <w:num w:numId="49">
    <w:abstractNumId w:val="25"/>
  </w:num>
  <w:num w:numId="50">
    <w:abstractNumId w:val="13"/>
  </w:num>
  <w:num w:numId="51">
    <w:abstractNumId w:val="6"/>
  </w:num>
  <w:num w:numId="52">
    <w:abstractNumId w:val="9"/>
  </w:num>
  <w:num w:numId="53">
    <w:abstractNumId w:val="12"/>
  </w:num>
  <w:num w:numId="54">
    <w:abstractNumId w:val="11"/>
  </w:num>
  <w:num w:numId="55">
    <w:abstractNumId w:val="24"/>
  </w:num>
  <w:num w:numId="56">
    <w:abstractNumId w:val="4"/>
  </w:num>
  <w:num w:numId="57">
    <w:abstractNumId w:val="21"/>
  </w:num>
  <w:num w:numId="58">
    <w:abstractNumId w:val="19"/>
  </w:num>
  <w:num w:numId="59">
    <w:abstractNumId w:val="23"/>
  </w:num>
  <w:num w:numId="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5F6E91"/>
    <w:rsid w:val="001252EB"/>
    <w:rsid w:val="001775EB"/>
    <w:rsid w:val="00183063"/>
    <w:rsid w:val="00433481"/>
    <w:rsid w:val="004D40B9"/>
    <w:rsid w:val="004F2DBC"/>
    <w:rsid w:val="004F6EF4"/>
    <w:rsid w:val="005F6E91"/>
    <w:rsid w:val="00601D5A"/>
    <w:rsid w:val="006E7B47"/>
    <w:rsid w:val="00705622"/>
    <w:rsid w:val="00716376"/>
    <w:rsid w:val="007A4C40"/>
    <w:rsid w:val="007A7E79"/>
    <w:rsid w:val="00823861"/>
    <w:rsid w:val="00871348"/>
    <w:rsid w:val="00873398"/>
    <w:rsid w:val="00946796"/>
    <w:rsid w:val="009F32A9"/>
    <w:rsid w:val="00A246E1"/>
    <w:rsid w:val="00AB7145"/>
    <w:rsid w:val="00B52F5F"/>
    <w:rsid w:val="00B57F57"/>
    <w:rsid w:val="00BD5CD6"/>
    <w:rsid w:val="00BF40C0"/>
    <w:rsid w:val="00C5476F"/>
    <w:rsid w:val="00CB0CF3"/>
    <w:rsid w:val="00CC79BE"/>
    <w:rsid w:val="00D5114A"/>
    <w:rsid w:val="00DE1D96"/>
    <w:rsid w:val="00E915FD"/>
    <w:rsid w:val="00EC2ACB"/>
    <w:rsid w:val="00F00262"/>
    <w:rsid w:val="00F037A1"/>
    <w:rsid w:val="00F52F44"/>
    <w:rsid w:val="00F71F97"/>
    <w:rsid w:val="4E86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qFormat/>
    <w:uiPriority w:val="0"/>
    <w:pPr>
      <w:keepNext/>
      <w:keepLines/>
      <w:numPr>
        <w:ilvl w:val="0"/>
        <w:numId w:val="1"/>
      </w:numPr>
      <w:spacing w:before="340" w:after="330" w:line="578" w:lineRule="auto"/>
      <w:jc w:val="center"/>
      <w:outlineLvl w:val="0"/>
    </w:pPr>
    <w:rPr>
      <w:rFonts w:eastAsia="黑体"/>
      <w:b/>
      <w:bCs/>
      <w:kern w:val="44"/>
      <w:sz w:val="28"/>
      <w:szCs w:val="44"/>
    </w:rPr>
  </w:style>
  <w:style w:type="paragraph" w:styleId="4">
    <w:name w:val="heading 2"/>
    <w:basedOn w:val="1"/>
    <w:next w:val="3"/>
    <w:qFormat/>
    <w:uiPriority w:val="0"/>
    <w:pPr>
      <w:keepNext/>
      <w:keepLines/>
      <w:numPr>
        <w:ilvl w:val="0"/>
        <w:numId w:val="2"/>
      </w:numPr>
      <w:spacing w:before="260" w:after="260" w:line="416" w:lineRule="auto"/>
      <w:jc w:val="center"/>
      <w:outlineLvl w:val="1"/>
    </w:pPr>
    <w:rPr>
      <w:rFonts w:ascii="Arial" w:hAnsi="Arial"/>
      <w:b/>
      <w:bCs/>
      <w:sz w:val="32"/>
      <w:szCs w:val="32"/>
    </w:rPr>
  </w:style>
  <w:style w:type="paragraph" w:styleId="5">
    <w:name w:val="heading 3"/>
    <w:basedOn w:val="1"/>
    <w:next w:val="3"/>
    <w:qFormat/>
    <w:uiPriority w:val="0"/>
    <w:pPr>
      <w:keepNext/>
      <w:keepLines/>
      <w:numPr>
        <w:ilvl w:val="0"/>
        <w:numId w:val="3"/>
      </w:numPr>
      <w:spacing w:before="260" w:after="260" w:line="416" w:lineRule="auto"/>
      <w:outlineLvl w:val="2"/>
    </w:pPr>
    <w:rPr>
      <w:rFonts w:ascii="黑体" w:eastAsia="黑体"/>
      <w:b/>
      <w:bCs/>
      <w:sz w:val="28"/>
      <w:szCs w:val="32"/>
    </w:rPr>
  </w:style>
  <w:style w:type="paragraph" w:styleId="6">
    <w:name w:val="heading 4"/>
    <w:basedOn w:val="1"/>
    <w:next w:val="3"/>
    <w:qFormat/>
    <w:uiPriority w:val="0"/>
    <w:pPr>
      <w:keepNext/>
      <w:keepLines/>
      <w:numPr>
        <w:ilvl w:val="0"/>
        <w:numId w:val="4"/>
      </w:numPr>
      <w:spacing w:line="360" w:lineRule="auto"/>
      <w:outlineLvl w:val="3"/>
    </w:pPr>
    <w:rPr>
      <w:rFonts w:ascii="Arial" w:hAnsi="Arial"/>
      <w:sz w:val="24"/>
      <w:szCs w:val="28"/>
    </w:rPr>
  </w:style>
  <w:style w:type="paragraph" w:styleId="7">
    <w:name w:val="heading 5"/>
    <w:basedOn w:val="1"/>
    <w:next w:val="3"/>
    <w:qFormat/>
    <w:uiPriority w:val="0"/>
    <w:pPr>
      <w:keepNext/>
      <w:keepLines/>
      <w:numPr>
        <w:ilvl w:val="0"/>
        <w:numId w:val="5"/>
      </w:numPr>
      <w:spacing w:line="300" w:lineRule="auto"/>
      <w:outlineLvl w:val="4"/>
    </w:pPr>
    <w:rPr>
      <w:sz w:val="24"/>
      <w:szCs w:val="28"/>
    </w:rPr>
  </w:style>
  <w:style w:type="character" w:default="1" w:styleId="15">
    <w:name w:val="Default Paragraph Font"/>
    <w:semiHidden/>
    <w:uiPriority w:val="0"/>
  </w:style>
  <w:style w:type="table" w:default="1" w:styleId="14">
    <w:name w:val="Normal Table"/>
    <w:semiHidden/>
    <w:uiPriority w:val="0"/>
    <w:tblPr>
      <w:tblCellMar>
        <w:top w:w="0" w:type="dxa"/>
        <w:left w:w="108" w:type="dxa"/>
        <w:bottom w:w="0" w:type="dxa"/>
        <w:right w:w="108" w:type="dxa"/>
      </w:tblCellMar>
    </w:tblPr>
  </w:style>
  <w:style w:type="paragraph" w:styleId="3">
    <w:name w:val="Body Text Indent"/>
    <w:basedOn w:val="1"/>
    <w:uiPriority w:val="0"/>
    <w:pPr>
      <w:numPr>
        <w:ilvl w:val="2"/>
        <w:numId w:val="6"/>
      </w:numPr>
      <w:spacing w:line="360" w:lineRule="auto"/>
    </w:pPr>
    <w:rPr>
      <w:rFonts w:ascii="宋体"/>
      <w:sz w:val="24"/>
    </w:rPr>
  </w:style>
  <w:style w:type="paragraph" w:styleId="8">
    <w:name w:val="Plain Text"/>
    <w:basedOn w:val="1"/>
    <w:uiPriority w:val="0"/>
    <w:rPr>
      <w:rFonts w:ascii="宋体" w:hAnsi="Courier New"/>
      <w:szCs w:val="20"/>
    </w:rPr>
  </w:style>
  <w:style w:type="paragraph" w:styleId="9">
    <w:name w:val="Date"/>
    <w:basedOn w:val="1"/>
    <w:next w:val="1"/>
    <w:uiPriority w:val="0"/>
    <w:pPr>
      <w:ind w:left="100" w:leftChars="2500"/>
    </w:pPr>
    <w:rPr>
      <w:b/>
      <w:bCs/>
      <w:sz w:val="30"/>
    </w:rPr>
  </w:style>
  <w:style w:type="paragraph" w:styleId="10">
    <w:name w:val="Body Text Indent 2"/>
    <w:basedOn w:val="1"/>
    <w:uiPriority w:val="0"/>
    <w:pPr>
      <w:spacing w:after="120" w:line="480" w:lineRule="auto"/>
      <w:ind w:left="420" w:leftChars="200"/>
    </w:pPr>
  </w:style>
  <w:style w:type="paragraph" w:styleId="11">
    <w:name w:val="footer"/>
    <w:basedOn w:val="1"/>
    <w:uiPriority w:val="0"/>
    <w:pPr>
      <w:tabs>
        <w:tab w:val="center" w:pos="4153"/>
        <w:tab w:val="right" w:pos="8306"/>
      </w:tabs>
      <w:snapToGrid w:val="0"/>
      <w:jc w:val="left"/>
    </w:pPr>
    <w:rPr>
      <w:sz w:val="18"/>
      <w:szCs w:val="20"/>
    </w:rPr>
  </w:style>
  <w:style w:type="paragraph" w:styleId="12">
    <w:name w:val="header"/>
    <w:basedOn w:val="1"/>
    <w:uiPriority w:val="0"/>
    <w:pPr>
      <w:pBdr>
        <w:bottom w:val="single" w:color="auto" w:sz="6" w:space="1"/>
      </w:pBdr>
      <w:tabs>
        <w:tab w:val="center" w:pos="4153"/>
      </w:tabs>
      <w:snapToGrid w:val="0"/>
      <w:jc w:val="center"/>
    </w:pPr>
    <w:rPr>
      <w:sz w:val="18"/>
      <w:szCs w:val="20"/>
    </w:rPr>
  </w:style>
  <w:style w:type="paragraph" w:styleId="13">
    <w:name w:val="Title"/>
    <w:basedOn w:val="1"/>
    <w:qFormat/>
    <w:uiPriority w:val="0"/>
    <w:pPr>
      <w:spacing w:before="240" w:after="60"/>
      <w:jc w:val="center"/>
      <w:outlineLvl w:val="0"/>
    </w:pPr>
    <w:rPr>
      <w:rFonts w:ascii="Arial" w:hAnsi="Arial" w:eastAsia="黑体" w:cs="Arial"/>
      <w:b/>
      <w:bCs/>
      <w:sz w:val="52"/>
      <w:szCs w:val="32"/>
    </w:rPr>
  </w:style>
  <w:style w:type="character" w:styleId="16">
    <w:name w:val="page number"/>
    <w:basedOn w:val="15"/>
    <w:uiPriority w:val="0"/>
  </w:style>
  <w:style w:type="character" w:styleId="17">
    <w:name w:val="FollowedHyperlink"/>
    <w:uiPriority w:val="0"/>
    <w:rPr>
      <w:color w:val="800080"/>
      <w:u w:val="single"/>
    </w:rPr>
  </w:style>
  <w:style w:type="character" w:styleId="18">
    <w:name w:val="Hyperlink"/>
    <w:uiPriority w:val="0"/>
    <w:rPr>
      <w:color w:val="0000FF"/>
      <w:u w:val="single"/>
    </w:rPr>
  </w:style>
  <w:style w:type="paragraph" w:customStyle="1" w:styleId="19">
    <w:name w:val="目录 11"/>
    <w:basedOn w:val="1"/>
    <w:next w:val="1"/>
    <w:autoRedefine/>
    <w:semiHidden/>
    <w:uiPriority w:val="0"/>
    <w:pPr>
      <w:tabs>
        <w:tab w:val="right" w:leader="dot" w:pos="8296"/>
      </w:tabs>
      <w:spacing w:before="360"/>
      <w:jc w:val="left"/>
    </w:pPr>
    <w:rPr>
      <w:rFonts w:ascii="Arial" w:hAnsi="Arial"/>
      <w:b/>
      <w:bCs/>
      <w:caps/>
      <w:szCs w:val="28"/>
    </w:rPr>
  </w:style>
  <w:style w:type="paragraph" w:customStyle="1" w:styleId="20">
    <w:name w:val="目录 21"/>
    <w:basedOn w:val="1"/>
    <w:next w:val="1"/>
    <w:autoRedefine/>
    <w:semiHidden/>
    <w:uiPriority w:val="0"/>
    <w:pPr>
      <w:spacing w:before="240"/>
      <w:jc w:val="center"/>
    </w:pPr>
    <w:rPr>
      <w:b/>
      <w:bCs/>
    </w:rPr>
  </w:style>
  <w:style w:type="paragraph" w:customStyle="1" w:styleId="21">
    <w:name w:val="目录 31"/>
    <w:basedOn w:val="1"/>
    <w:next w:val="1"/>
    <w:autoRedefine/>
    <w:semiHidden/>
    <w:uiPriority w:val="0"/>
    <w:pPr>
      <w:ind w:left="210"/>
      <w:jc w:val="left"/>
    </w:pPr>
  </w:style>
  <w:style w:type="paragraph" w:customStyle="1" w:styleId="22">
    <w:name w:val="带符号正文"/>
    <w:basedOn w:val="1"/>
    <w:next w:val="1"/>
    <w:uiPriority w:val="0"/>
    <w:pPr>
      <w:numPr>
        <w:ilvl w:val="0"/>
        <w:numId w:val="7"/>
      </w:numPr>
      <w:tabs>
        <w:tab w:val="left" w:pos="360"/>
      </w:tabs>
      <w:spacing w:line="300" w:lineRule="auto"/>
      <w:ind w:leftChars="-28" w:firstLineChars="200"/>
    </w:pPr>
    <w:rPr>
      <w:rFonts w:ascii="宋体"/>
      <w:szCs w:val="20"/>
    </w:rPr>
  </w:style>
  <w:style w:type="paragraph" w:customStyle="1" w:styleId="23">
    <w:name w:val="图题"/>
    <w:basedOn w:val="3"/>
    <w:next w:val="1"/>
    <w:uiPriority w:val="0"/>
    <w:pPr>
      <w:spacing w:after="312" w:afterLines="100"/>
      <w:ind w:firstLine="0"/>
      <w:jc w:val="center"/>
    </w:pPr>
    <w:rPr>
      <w:b/>
      <w:sz w:val="21"/>
    </w:rPr>
  </w:style>
  <w:style w:type="paragraph" w:customStyle="1" w:styleId="24">
    <w:name w:val="表题"/>
    <w:basedOn w:val="1"/>
    <w:next w:val="1"/>
    <w:uiPriority w:val="0"/>
    <w:pPr>
      <w:spacing w:before="156" w:beforeLines="50"/>
      <w:ind w:firstLine="841" w:firstLineChars="400"/>
      <w:jc w:val="left"/>
    </w:pPr>
    <w:rPr>
      <w:b/>
      <w:szCs w:val="20"/>
    </w:rPr>
  </w:style>
  <w:style w:type="paragraph" w:customStyle="1" w:styleId="25">
    <w:name w:val="目录 41"/>
    <w:basedOn w:val="1"/>
    <w:next w:val="1"/>
    <w:autoRedefine/>
    <w:semiHidden/>
    <w:uiPriority w:val="0"/>
    <w:pPr>
      <w:ind w:left="420"/>
      <w:jc w:val="left"/>
    </w:pPr>
  </w:style>
  <w:style w:type="paragraph" w:customStyle="1" w:styleId="26">
    <w:name w:val="图"/>
    <w:basedOn w:val="1"/>
    <w:next w:val="23"/>
    <w:uiPriority w:val="0"/>
    <w:pPr>
      <w:spacing w:before="156" w:beforeLines="50"/>
      <w:jc w:val="center"/>
    </w:pPr>
    <w:rPr>
      <w:szCs w:val="20"/>
    </w:rPr>
  </w:style>
  <w:style w:type="paragraph" w:customStyle="1" w:styleId="27">
    <w:name w:val="表格文字"/>
    <w:basedOn w:val="1"/>
    <w:uiPriority w:val="0"/>
    <w:pPr>
      <w:jc w:val="center"/>
    </w:pPr>
    <w:rPr>
      <w:szCs w:val="20"/>
    </w:rPr>
  </w:style>
  <w:style w:type="paragraph" w:customStyle="1" w:styleId="28">
    <w:name w:val="目录 51"/>
    <w:basedOn w:val="1"/>
    <w:next w:val="1"/>
    <w:autoRedefine/>
    <w:semiHidden/>
    <w:uiPriority w:val="0"/>
    <w:pPr>
      <w:ind w:left="630"/>
      <w:jc w:val="left"/>
    </w:pPr>
  </w:style>
  <w:style w:type="paragraph" w:customStyle="1" w:styleId="29">
    <w:name w:val="目录 61"/>
    <w:basedOn w:val="1"/>
    <w:next w:val="1"/>
    <w:autoRedefine/>
    <w:semiHidden/>
    <w:uiPriority w:val="0"/>
    <w:pPr>
      <w:ind w:left="840"/>
      <w:jc w:val="left"/>
    </w:pPr>
  </w:style>
  <w:style w:type="paragraph" w:customStyle="1" w:styleId="30">
    <w:name w:val="页眉1"/>
    <w:basedOn w:val="12"/>
    <w:uiPriority w:val="0"/>
    <w:pPr>
      <w:pBdr>
        <w:bottom w:val="none" w:color="auto" w:sz="0" w:space="0"/>
      </w:pBdr>
      <w:jc w:val="both"/>
    </w:pPr>
  </w:style>
  <w:style w:type="paragraph" w:customStyle="1" w:styleId="31">
    <w:name w:val="目录 71"/>
    <w:basedOn w:val="1"/>
    <w:next w:val="1"/>
    <w:autoRedefine/>
    <w:semiHidden/>
    <w:uiPriority w:val="0"/>
    <w:pPr>
      <w:ind w:left="1050"/>
      <w:jc w:val="left"/>
    </w:pPr>
  </w:style>
  <w:style w:type="paragraph" w:customStyle="1" w:styleId="32">
    <w:name w:val="目录 81"/>
    <w:basedOn w:val="1"/>
    <w:next w:val="1"/>
    <w:autoRedefine/>
    <w:semiHidden/>
    <w:uiPriority w:val="0"/>
    <w:pPr>
      <w:ind w:left="1260"/>
      <w:jc w:val="left"/>
    </w:pPr>
  </w:style>
  <w:style w:type="paragraph" w:customStyle="1" w:styleId="33">
    <w:name w:val="目录 91"/>
    <w:basedOn w:val="1"/>
    <w:next w:val="1"/>
    <w:autoRedefine/>
    <w:semiHidden/>
    <w:uiPriority w:val="0"/>
    <w:pPr>
      <w:ind w:left="1470"/>
      <w:jc w:val="left"/>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wmf"/><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6164;&#26009;&#20179;&#24211;\&#20854;&#20182;\Readme\sinotrust\&#27169;&#26495;\&#35834;&#20122;&#33311;&#27491;&#24335;&#25253;&#21578;&#25991;&#20214;&#65288;&#20116;&#21495;&#23383;&#20307;&#6528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诺亚舟正式报告文件（五号字体）模板.dot</Template>
  <Company>noahark</Company>
  <Pages>16</Pages>
  <Words>1124</Words>
  <Characters>6408</Characters>
  <Lines>53</Lines>
  <Paragraphs>15</Paragraphs>
  <TotalTime>1</TotalTime>
  <ScaleCrop>false</ScaleCrop>
  <LinksUpToDate>false</LinksUpToDate>
  <CharactersWithSpaces>7517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2023-12-24T02:09:00Z</dcterms:created>
  <dc:creator>sinomc</dc:creator>
  <cp:lastModifiedBy>Annie진남</cp:lastModifiedBy>
  <cp:lastPrinted>2003-11-03T02:04:00Z</cp:lastPrinted>
  <dcterms:modified xsi:type="dcterms:W3CDTF">2024-02-27T08:21:14Z</dcterms:modified>
  <dc:title>目    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43CC45C6880A445F80E6AAF223C903AE_13</vt:lpwstr>
  </property>
</Properties>
</file>